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AB2F8" w14:textId="15C6A2E0" w:rsidR="00980DA6" w:rsidRDefault="00980DA6" w:rsidP="00B07ECF">
      <w:pPr>
        <w:pBdr>
          <w:bottom w:val="single" w:sz="18" w:space="1" w:color="auto"/>
        </w:pBdr>
        <w:spacing w:after="0" w:line="240" w:lineRule="auto"/>
        <w:jc w:val="center"/>
        <w:rPr>
          <w:rFonts w:eastAsia="Times New Roman" w:cs="Arial"/>
          <w:b/>
          <w:sz w:val="24"/>
          <w:szCs w:val="28"/>
        </w:rPr>
      </w:pPr>
    </w:p>
    <w:p w14:paraId="00631CE8" w14:textId="77777777" w:rsidR="00980DA6" w:rsidRDefault="00980DA6" w:rsidP="00B07ECF">
      <w:pPr>
        <w:pBdr>
          <w:bottom w:val="single" w:sz="18" w:space="1" w:color="auto"/>
        </w:pBdr>
        <w:spacing w:after="0" w:line="240" w:lineRule="auto"/>
        <w:jc w:val="center"/>
        <w:rPr>
          <w:rFonts w:eastAsia="Times New Roman" w:cs="Arial"/>
          <w:b/>
          <w:sz w:val="24"/>
          <w:szCs w:val="28"/>
        </w:rPr>
      </w:pPr>
    </w:p>
    <w:p w14:paraId="4C1BA7E8" w14:textId="04897859" w:rsidR="00C90128" w:rsidRPr="00B07ECF" w:rsidRDefault="005F39DD" w:rsidP="00B07ECF">
      <w:pPr>
        <w:pBdr>
          <w:bottom w:val="single" w:sz="18" w:space="1" w:color="auto"/>
        </w:pBdr>
        <w:spacing w:after="0" w:line="240" w:lineRule="auto"/>
        <w:jc w:val="center"/>
        <w:rPr>
          <w:rFonts w:eastAsia="Times New Roman" w:cs="Arial"/>
          <w:b/>
          <w:sz w:val="24"/>
          <w:szCs w:val="28"/>
        </w:rPr>
      </w:pPr>
      <w:r w:rsidRPr="00B07ECF">
        <w:rPr>
          <w:rFonts w:eastAsia="Times New Roman" w:cs="Arial"/>
          <w:b/>
          <w:sz w:val="24"/>
          <w:szCs w:val="28"/>
        </w:rPr>
        <w:t xml:space="preserve">South African </w:t>
      </w:r>
      <w:r w:rsidR="00C90128" w:rsidRPr="00B07ECF">
        <w:rPr>
          <w:rFonts w:eastAsia="Times New Roman" w:cs="Arial"/>
          <w:b/>
          <w:sz w:val="24"/>
          <w:szCs w:val="28"/>
        </w:rPr>
        <w:t>National Essential Medicine List</w:t>
      </w:r>
    </w:p>
    <w:p w14:paraId="5AFBFA98" w14:textId="2D70B6B2" w:rsidR="00EF76B2" w:rsidRPr="00B07ECF" w:rsidRDefault="00EF76B2" w:rsidP="00B07ECF">
      <w:pPr>
        <w:pBdr>
          <w:bottom w:val="single" w:sz="18" w:space="1" w:color="auto"/>
        </w:pBdr>
        <w:spacing w:after="0" w:line="240" w:lineRule="auto"/>
        <w:jc w:val="center"/>
        <w:rPr>
          <w:rFonts w:eastAsia="Times New Roman" w:cs="Arial"/>
          <w:b/>
          <w:sz w:val="24"/>
          <w:szCs w:val="28"/>
        </w:rPr>
      </w:pPr>
      <w:r w:rsidRPr="00B07ECF">
        <w:rPr>
          <w:rFonts w:eastAsia="Times New Roman" w:cs="Arial"/>
          <w:b/>
          <w:sz w:val="24"/>
          <w:szCs w:val="28"/>
        </w:rPr>
        <w:t xml:space="preserve">Primary </w:t>
      </w:r>
      <w:r w:rsidR="00F41B9F">
        <w:rPr>
          <w:rFonts w:eastAsia="Times New Roman" w:cs="Arial"/>
          <w:b/>
          <w:sz w:val="24"/>
          <w:szCs w:val="28"/>
        </w:rPr>
        <w:t xml:space="preserve">Healthcare </w:t>
      </w:r>
      <w:r w:rsidR="00F41B9F" w:rsidRPr="00B07ECF">
        <w:rPr>
          <w:rFonts w:eastAsia="Times New Roman" w:cs="Arial"/>
          <w:b/>
          <w:sz w:val="24"/>
          <w:szCs w:val="28"/>
        </w:rPr>
        <w:t>EML</w:t>
      </w:r>
      <w:r w:rsidRPr="00B07ECF">
        <w:rPr>
          <w:rFonts w:eastAsia="Times New Roman" w:cs="Arial"/>
          <w:b/>
          <w:sz w:val="24"/>
          <w:szCs w:val="28"/>
        </w:rPr>
        <w:t xml:space="preserve"> review proce</w:t>
      </w:r>
      <w:r w:rsidR="00B07ECF">
        <w:rPr>
          <w:rFonts w:eastAsia="Times New Roman" w:cs="Arial"/>
          <w:b/>
          <w:sz w:val="24"/>
          <w:szCs w:val="28"/>
        </w:rPr>
        <w:t>ss</w:t>
      </w:r>
    </w:p>
    <w:p w14:paraId="5307F54F" w14:textId="41CC9B09" w:rsidR="00EF76B2" w:rsidRPr="00B07ECF" w:rsidRDefault="00EF76B2" w:rsidP="00B07ECF">
      <w:pPr>
        <w:pBdr>
          <w:bottom w:val="single" w:sz="18" w:space="1" w:color="auto"/>
        </w:pBdr>
        <w:spacing w:after="0" w:line="240" w:lineRule="auto"/>
        <w:jc w:val="center"/>
        <w:rPr>
          <w:rFonts w:eastAsia="Times New Roman" w:cs="Arial"/>
          <w:b/>
          <w:sz w:val="24"/>
          <w:szCs w:val="28"/>
        </w:rPr>
      </w:pPr>
      <w:r w:rsidRPr="00B07ECF">
        <w:rPr>
          <w:rFonts w:eastAsia="Times New Roman" w:cs="Arial"/>
          <w:b/>
          <w:sz w:val="24"/>
          <w:szCs w:val="28"/>
        </w:rPr>
        <w:t>Component: Emergencies &amp; injuries</w:t>
      </w:r>
    </w:p>
    <w:p w14:paraId="633D831E" w14:textId="77777777" w:rsidR="00C90128" w:rsidRPr="00C90128" w:rsidRDefault="00C90128" w:rsidP="00B07ECF">
      <w:pPr>
        <w:spacing w:after="0" w:line="240" w:lineRule="auto"/>
        <w:jc w:val="both"/>
        <w:rPr>
          <w:rFonts w:eastAsia="Times New Roman" w:cs="Times New Roman"/>
          <w:b/>
        </w:rPr>
      </w:pPr>
    </w:p>
    <w:p w14:paraId="49DBF642" w14:textId="5AECDC90" w:rsidR="003C055F" w:rsidRPr="00B07ECF" w:rsidRDefault="00F71D6C" w:rsidP="00B07ECF">
      <w:pPr>
        <w:spacing w:after="0" w:line="240" w:lineRule="auto"/>
        <w:rPr>
          <w:b/>
          <w:sz w:val="24"/>
          <w:u w:val="single"/>
        </w:rPr>
      </w:pPr>
      <w:r w:rsidRPr="00B07ECF">
        <w:rPr>
          <w:b/>
          <w:sz w:val="24"/>
          <w:u w:val="single"/>
        </w:rPr>
        <w:t>RAPID SCOPING REVIEW</w:t>
      </w:r>
    </w:p>
    <w:p w14:paraId="16830C15" w14:textId="498A0B3A" w:rsidR="004F0E43" w:rsidRDefault="004F0E43" w:rsidP="00B07ECF">
      <w:pPr>
        <w:spacing w:after="0" w:line="240" w:lineRule="auto"/>
        <w:rPr>
          <w:b/>
          <w:u w:val="single"/>
        </w:rPr>
      </w:pPr>
    </w:p>
    <w:p w14:paraId="4FDD7B13" w14:textId="5274EB8A" w:rsidR="00EF76B2" w:rsidRPr="00B07ECF" w:rsidRDefault="00EF76B2" w:rsidP="00B07ECF">
      <w:pPr>
        <w:spacing w:after="0" w:line="240" w:lineRule="auto"/>
        <w:rPr>
          <w:b/>
        </w:rPr>
      </w:pPr>
      <w:r w:rsidRPr="00B07ECF">
        <w:rPr>
          <w:b/>
        </w:rPr>
        <w:t>Date: 21 October 2021</w:t>
      </w:r>
    </w:p>
    <w:p w14:paraId="6A7CF4AE" w14:textId="77777777" w:rsidR="00EF76B2" w:rsidRDefault="00EF76B2" w:rsidP="00B07ECF">
      <w:pPr>
        <w:spacing w:after="0" w:line="240" w:lineRule="auto"/>
        <w:rPr>
          <w:b/>
          <w:u w:val="single"/>
        </w:rPr>
      </w:pPr>
    </w:p>
    <w:p w14:paraId="6190B7F5" w14:textId="48F2061A" w:rsidR="005564DE" w:rsidRDefault="005564DE" w:rsidP="00B07ECF">
      <w:pPr>
        <w:spacing w:after="0" w:line="240" w:lineRule="auto"/>
        <w:outlineLvl w:val="0"/>
        <w:rPr>
          <w:rFonts w:ascii="Calibri" w:eastAsia="Times New Roman" w:hAnsi="Calibri" w:cs="Calibri"/>
          <w:b/>
          <w:bCs/>
          <w:color w:val="1F4E79"/>
          <w:sz w:val="24"/>
          <w:szCs w:val="24"/>
        </w:rPr>
      </w:pPr>
      <w:r w:rsidRPr="290496F1">
        <w:rPr>
          <w:rFonts w:ascii="Calibri" w:eastAsia="Times New Roman" w:hAnsi="Calibri" w:cs="Calibri"/>
          <w:b/>
          <w:bCs/>
          <w:color w:val="1F4E79"/>
          <w:sz w:val="24"/>
          <w:szCs w:val="24"/>
        </w:rPr>
        <w:t>Key findings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ook w:val="04A0" w:firstRow="1" w:lastRow="0" w:firstColumn="1" w:lastColumn="0" w:noHBand="0" w:noVBand="1"/>
      </w:tblPr>
      <w:tblGrid>
        <w:gridCol w:w="10770"/>
      </w:tblGrid>
      <w:tr w:rsidR="005564DE" w:rsidRPr="00E273BA" w14:paraId="3921441A" w14:textId="77777777" w:rsidTr="290496F1">
        <w:trPr>
          <w:trHeight w:val="1475"/>
        </w:trPr>
        <w:tc>
          <w:tcPr>
            <w:tcW w:w="5000" w:type="pct"/>
            <w:shd w:val="clear" w:color="auto" w:fill="F2F2F2" w:themeFill="background1" w:themeFillShade="F2"/>
          </w:tcPr>
          <w:p w14:paraId="64E35D63" w14:textId="7C24995C" w:rsidR="005564DE" w:rsidRPr="005564DE" w:rsidRDefault="01B6D9C6" w:rsidP="00B07ECF">
            <w:pPr>
              <w:numPr>
                <w:ilvl w:val="0"/>
                <w:numId w:val="2"/>
              </w:numPr>
              <w:ind w:left="301" w:hanging="284"/>
              <w:jc w:val="both"/>
              <w:rPr>
                <w:rFonts w:ascii="Calibri" w:eastAsia="Calibri" w:hAnsi="Calibri" w:cs="Calibri"/>
                <w:sz w:val="24"/>
                <w:szCs w:val="24"/>
              </w:rPr>
            </w:pPr>
            <w:r w:rsidRPr="290496F1">
              <w:rPr>
                <w:rFonts w:ascii="Calibri" w:eastAsia="Calibri" w:hAnsi="Calibri" w:cs="Calibri"/>
                <w:sz w:val="24"/>
                <w:szCs w:val="24"/>
              </w:rPr>
              <w:t xml:space="preserve">The purpose of this </w:t>
            </w:r>
            <w:r w:rsidR="00A61AD9">
              <w:rPr>
                <w:rFonts w:ascii="Calibri" w:eastAsia="Calibri" w:hAnsi="Calibri" w:cs="Calibri"/>
                <w:sz w:val="24"/>
                <w:szCs w:val="24"/>
              </w:rPr>
              <w:t xml:space="preserve">rapid scoping </w:t>
            </w:r>
            <w:r w:rsidRPr="290496F1">
              <w:rPr>
                <w:rFonts w:ascii="Calibri" w:eastAsia="Calibri" w:hAnsi="Calibri" w:cs="Calibri"/>
                <w:sz w:val="24"/>
                <w:szCs w:val="24"/>
              </w:rPr>
              <w:t>review was to determine if there is any new evidence since the previous review</w:t>
            </w:r>
            <w:r w:rsidR="00B07ECF">
              <w:rPr>
                <w:rFonts w:ascii="Calibri" w:eastAsia="Calibri" w:hAnsi="Calibri" w:cs="Calibri"/>
                <w:sz w:val="24"/>
                <w:szCs w:val="24"/>
              </w:rPr>
              <w:t xml:space="preserve"> of the evidence</w:t>
            </w:r>
            <w:r w:rsidRPr="290496F1">
              <w:rPr>
                <w:rFonts w:ascii="Calibri" w:eastAsia="Calibri" w:hAnsi="Calibri" w:cs="Calibri"/>
                <w:sz w:val="24"/>
                <w:szCs w:val="24"/>
              </w:rPr>
              <w:t xml:space="preserve"> in 2018 for burn dressings and </w:t>
            </w:r>
            <w:proofErr w:type="spellStart"/>
            <w:r w:rsidR="00EF76B2">
              <w:rPr>
                <w:rFonts w:ascii="Calibri" w:eastAsia="Calibri" w:hAnsi="Calibri" w:cs="Calibri"/>
                <w:sz w:val="24"/>
                <w:szCs w:val="24"/>
              </w:rPr>
              <w:t>m</w:t>
            </w:r>
            <w:r w:rsidR="61094C5E" w:rsidRPr="290496F1">
              <w:rPr>
                <w:rFonts w:ascii="Calibri" w:eastAsia="Calibri" w:hAnsi="Calibri" w:cs="Calibri"/>
                <w:sz w:val="24"/>
                <w:szCs w:val="24"/>
              </w:rPr>
              <w:t>upirocin</w:t>
            </w:r>
            <w:proofErr w:type="spellEnd"/>
            <w:r w:rsidR="61094C5E" w:rsidRPr="290496F1">
              <w:rPr>
                <w:rFonts w:ascii="Calibri" w:eastAsia="Calibri" w:hAnsi="Calibri" w:cs="Calibri"/>
                <w:sz w:val="24"/>
                <w:szCs w:val="24"/>
              </w:rPr>
              <w:t xml:space="preserve"> to trigger a formal review. </w:t>
            </w:r>
          </w:p>
          <w:p w14:paraId="686AB7C5" w14:textId="2FE131B3" w:rsidR="01B6D9C6" w:rsidRDefault="01B6D9C6" w:rsidP="00B07ECF">
            <w:pPr>
              <w:numPr>
                <w:ilvl w:val="0"/>
                <w:numId w:val="2"/>
              </w:numPr>
              <w:ind w:left="301" w:hanging="284"/>
              <w:jc w:val="both"/>
              <w:rPr>
                <w:sz w:val="24"/>
                <w:szCs w:val="24"/>
              </w:rPr>
            </w:pPr>
            <w:r w:rsidRPr="290496F1">
              <w:rPr>
                <w:rFonts w:ascii="Calibri" w:eastAsia="Calibri" w:hAnsi="Calibri" w:cs="Calibri"/>
                <w:sz w:val="24"/>
                <w:szCs w:val="24"/>
              </w:rPr>
              <w:t xml:space="preserve">No additional RCTs or relevant evidence from SRs since 2018 of burns dressings </w:t>
            </w:r>
            <w:proofErr w:type="gramStart"/>
            <w:r w:rsidRPr="290496F1">
              <w:rPr>
                <w:rFonts w:ascii="Calibri" w:eastAsia="Calibri" w:hAnsi="Calibri" w:cs="Calibri"/>
                <w:sz w:val="24"/>
                <w:szCs w:val="24"/>
              </w:rPr>
              <w:t>was found</w:t>
            </w:r>
            <w:proofErr w:type="gramEnd"/>
            <w:r w:rsidRPr="290496F1">
              <w:rPr>
                <w:rFonts w:ascii="Calibri" w:eastAsia="Calibri" w:hAnsi="Calibri" w:cs="Calibri"/>
                <w:sz w:val="24"/>
                <w:szCs w:val="24"/>
              </w:rPr>
              <w:t>.</w:t>
            </w:r>
          </w:p>
          <w:p w14:paraId="37013C4C" w14:textId="519536A5" w:rsidR="005564DE" w:rsidRPr="005564DE" w:rsidRDefault="05F9807B" w:rsidP="00B07ECF">
            <w:pPr>
              <w:numPr>
                <w:ilvl w:val="0"/>
                <w:numId w:val="2"/>
              </w:numPr>
              <w:ind w:left="301" w:hanging="284"/>
              <w:jc w:val="both"/>
              <w:rPr>
                <w:sz w:val="24"/>
                <w:szCs w:val="24"/>
              </w:rPr>
            </w:pPr>
            <w:r w:rsidRPr="290496F1">
              <w:rPr>
                <w:rFonts w:ascii="Calibri" w:eastAsia="Calibri" w:hAnsi="Calibri" w:cs="Calibri"/>
                <w:sz w:val="24"/>
                <w:szCs w:val="24"/>
              </w:rPr>
              <w:t xml:space="preserve">No evidence </w:t>
            </w:r>
            <w:r w:rsidR="00B2652B">
              <w:rPr>
                <w:rFonts w:ascii="Calibri" w:eastAsia="Calibri" w:hAnsi="Calibri" w:cs="Calibri"/>
                <w:sz w:val="24"/>
                <w:szCs w:val="24"/>
              </w:rPr>
              <w:t>signal</w:t>
            </w:r>
            <w:r w:rsidR="00B2652B" w:rsidRPr="290496F1">
              <w:rPr>
                <w:rFonts w:ascii="Calibri" w:eastAsia="Calibri" w:hAnsi="Calibri" w:cs="Calibri"/>
                <w:sz w:val="24"/>
                <w:szCs w:val="24"/>
              </w:rPr>
              <w:t xml:space="preserve"> </w:t>
            </w:r>
            <w:r w:rsidRPr="290496F1">
              <w:rPr>
                <w:rFonts w:ascii="Calibri" w:eastAsia="Calibri" w:hAnsi="Calibri" w:cs="Calibri"/>
                <w:sz w:val="24"/>
                <w:szCs w:val="24"/>
              </w:rPr>
              <w:t xml:space="preserve">to indicate any change </w:t>
            </w:r>
            <w:proofErr w:type="gramStart"/>
            <w:r w:rsidRPr="290496F1">
              <w:rPr>
                <w:rFonts w:ascii="Calibri" w:eastAsia="Calibri" w:hAnsi="Calibri" w:cs="Calibri"/>
                <w:sz w:val="24"/>
                <w:szCs w:val="24"/>
              </w:rPr>
              <w:t>to original 2018 NEML</w:t>
            </w:r>
            <w:r w:rsidR="00B2652B">
              <w:rPr>
                <w:rFonts w:ascii="Calibri" w:eastAsia="Calibri" w:hAnsi="Calibri" w:cs="Calibri"/>
                <w:sz w:val="24"/>
                <w:szCs w:val="24"/>
              </w:rPr>
              <w:t>C</w:t>
            </w:r>
            <w:r w:rsidRPr="290496F1">
              <w:rPr>
                <w:rFonts w:ascii="Calibri" w:eastAsia="Calibri" w:hAnsi="Calibri" w:cs="Calibri"/>
                <w:sz w:val="24"/>
                <w:szCs w:val="24"/>
              </w:rPr>
              <w:t xml:space="preserve"> recommendations for local wound care</w:t>
            </w:r>
            <w:r w:rsidR="0F081362" w:rsidRPr="290496F1">
              <w:rPr>
                <w:rFonts w:ascii="Calibri" w:eastAsia="Calibri" w:hAnsi="Calibri" w:cs="Calibri"/>
                <w:sz w:val="24"/>
                <w:szCs w:val="24"/>
              </w:rPr>
              <w:t xml:space="preserve"> (Povidone iodine, </w:t>
            </w:r>
            <w:r w:rsidR="00B07ECF">
              <w:rPr>
                <w:rFonts w:ascii="Calibri" w:eastAsia="Calibri" w:hAnsi="Calibri" w:cs="Calibri"/>
                <w:sz w:val="24"/>
                <w:szCs w:val="24"/>
              </w:rPr>
              <w:t>s</w:t>
            </w:r>
            <w:r w:rsidR="00B07ECF" w:rsidRPr="290496F1">
              <w:rPr>
                <w:rFonts w:ascii="Calibri" w:eastAsia="Calibri" w:hAnsi="Calibri" w:cs="Calibri"/>
                <w:sz w:val="24"/>
                <w:szCs w:val="24"/>
              </w:rPr>
              <w:t xml:space="preserve">ilver </w:t>
            </w:r>
            <w:r w:rsidR="0F081362" w:rsidRPr="290496F1">
              <w:rPr>
                <w:rFonts w:ascii="Calibri" w:eastAsia="Calibri" w:hAnsi="Calibri" w:cs="Calibri"/>
                <w:sz w:val="24"/>
                <w:szCs w:val="24"/>
              </w:rPr>
              <w:t xml:space="preserve">sulfadiazine, </w:t>
            </w:r>
            <w:proofErr w:type="spellStart"/>
            <w:r w:rsidR="00B07ECF">
              <w:rPr>
                <w:rFonts w:ascii="Calibri" w:eastAsia="Calibri" w:hAnsi="Calibri" w:cs="Calibri"/>
                <w:sz w:val="24"/>
                <w:szCs w:val="24"/>
              </w:rPr>
              <w:t>m</w:t>
            </w:r>
            <w:r w:rsidR="00B07ECF" w:rsidRPr="290496F1">
              <w:rPr>
                <w:rFonts w:ascii="Calibri" w:eastAsia="Calibri" w:hAnsi="Calibri" w:cs="Calibri"/>
                <w:sz w:val="24"/>
                <w:szCs w:val="24"/>
              </w:rPr>
              <w:t>upirocin</w:t>
            </w:r>
            <w:proofErr w:type="spellEnd"/>
            <w:r w:rsidR="0F081362" w:rsidRPr="290496F1">
              <w:rPr>
                <w:rFonts w:ascii="Calibri" w:eastAsia="Calibri" w:hAnsi="Calibri" w:cs="Calibri"/>
                <w:sz w:val="24"/>
                <w:szCs w:val="24"/>
              </w:rPr>
              <w:t xml:space="preserve">, </w:t>
            </w:r>
            <w:proofErr w:type="spellStart"/>
            <w:r w:rsidR="00B07ECF">
              <w:rPr>
                <w:rFonts w:ascii="Calibri" w:eastAsia="Calibri" w:hAnsi="Calibri" w:cs="Calibri"/>
                <w:sz w:val="24"/>
                <w:szCs w:val="24"/>
              </w:rPr>
              <w:t>n</w:t>
            </w:r>
            <w:r w:rsidR="00B07ECF" w:rsidRPr="290496F1">
              <w:rPr>
                <w:rFonts w:ascii="Calibri" w:eastAsia="Calibri" w:hAnsi="Calibri" w:cs="Calibri"/>
                <w:sz w:val="24"/>
                <w:szCs w:val="24"/>
              </w:rPr>
              <w:t>ano</w:t>
            </w:r>
            <w:proofErr w:type="spellEnd"/>
            <w:r w:rsidR="0F081362" w:rsidRPr="290496F1">
              <w:rPr>
                <w:rFonts w:ascii="Calibri" w:eastAsia="Calibri" w:hAnsi="Calibri" w:cs="Calibri"/>
                <w:sz w:val="24"/>
                <w:szCs w:val="24"/>
              </w:rPr>
              <w:t xml:space="preserve">‐crystalline dressings, </w:t>
            </w:r>
            <w:r w:rsidR="00B07ECF" w:rsidRPr="0005781F">
              <w:rPr>
                <w:rFonts w:ascii="Calibri" w:eastAsia="Calibri" w:hAnsi="Calibri" w:cs="Calibri"/>
                <w:i/>
                <w:sz w:val="24"/>
                <w:szCs w:val="24"/>
              </w:rPr>
              <w:t xml:space="preserve">melaleuca </w:t>
            </w:r>
            <w:proofErr w:type="spellStart"/>
            <w:r w:rsidR="0F081362" w:rsidRPr="0005781F">
              <w:rPr>
                <w:rFonts w:ascii="Calibri" w:eastAsia="Calibri" w:hAnsi="Calibri" w:cs="Calibri"/>
                <w:i/>
                <w:sz w:val="24"/>
                <w:szCs w:val="24"/>
              </w:rPr>
              <w:t>alternifolia</w:t>
            </w:r>
            <w:proofErr w:type="spellEnd"/>
            <w:r w:rsidR="0F081362" w:rsidRPr="290496F1">
              <w:rPr>
                <w:rFonts w:ascii="Calibri" w:eastAsia="Calibri" w:hAnsi="Calibri" w:cs="Calibri"/>
                <w:sz w:val="24"/>
                <w:szCs w:val="24"/>
              </w:rPr>
              <w:t>)</w:t>
            </w:r>
            <w:r w:rsidRPr="290496F1">
              <w:rPr>
                <w:rFonts w:ascii="Calibri" w:eastAsia="Calibri" w:hAnsi="Calibri" w:cs="Calibri"/>
                <w:sz w:val="24"/>
                <w:szCs w:val="24"/>
              </w:rPr>
              <w:t xml:space="preserve"> in patients with burns</w:t>
            </w:r>
            <w:proofErr w:type="gramEnd"/>
            <w:r w:rsidRPr="290496F1">
              <w:rPr>
                <w:rFonts w:ascii="Calibri" w:eastAsia="Calibri" w:hAnsi="Calibri" w:cs="Calibri"/>
                <w:sz w:val="24"/>
                <w:szCs w:val="24"/>
              </w:rPr>
              <w:t xml:space="preserve">. </w:t>
            </w:r>
          </w:p>
          <w:p w14:paraId="1ED56943" w14:textId="3F1B07C3" w:rsidR="005564DE" w:rsidRPr="005564DE" w:rsidRDefault="6C34BE03" w:rsidP="00B07ECF">
            <w:pPr>
              <w:numPr>
                <w:ilvl w:val="0"/>
                <w:numId w:val="2"/>
              </w:numPr>
              <w:ind w:left="301" w:hanging="284"/>
              <w:jc w:val="both"/>
              <w:rPr>
                <w:sz w:val="24"/>
                <w:szCs w:val="24"/>
              </w:rPr>
            </w:pPr>
            <w:r w:rsidRPr="290496F1">
              <w:rPr>
                <w:rFonts w:ascii="Calibri" w:eastAsia="Calibri" w:hAnsi="Calibri" w:cs="Calibri"/>
                <w:sz w:val="24"/>
                <w:szCs w:val="24"/>
              </w:rPr>
              <w:t xml:space="preserve">No evidence for the </w:t>
            </w:r>
            <w:r w:rsidR="564E6EEF" w:rsidRPr="290496F1">
              <w:rPr>
                <w:rFonts w:ascii="Calibri" w:eastAsia="Calibri" w:hAnsi="Calibri" w:cs="Calibri"/>
                <w:sz w:val="24"/>
                <w:szCs w:val="24"/>
              </w:rPr>
              <w:t>effectiveness</w:t>
            </w:r>
            <w:r w:rsidRPr="290496F1">
              <w:rPr>
                <w:rFonts w:ascii="Calibri" w:eastAsia="Calibri" w:hAnsi="Calibri" w:cs="Calibri"/>
                <w:sz w:val="24"/>
                <w:szCs w:val="24"/>
              </w:rPr>
              <w:t xml:space="preserve"> </w:t>
            </w:r>
            <w:proofErr w:type="spellStart"/>
            <w:r w:rsidR="00B07ECF">
              <w:rPr>
                <w:rFonts w:ascii="Calibri" w:eastAsia="Calibri" w:hAnsi="Calibri" w:cs="Calibri"/>
                <w:sz w:val="24"/>
                <w:szCs w:val="24"/>
              </w:rPr>
              <w:t>m</w:t>
            </w:r>
            <w:r w:rsidR="00B07ECF" w:rsidRPr="290496F1">
              <w:rPr>
                <w:rFonts w:ascii="Calibri" w:eastAsia="Calibri" w:hAnsi="Calibri" w:cs="Calibri"/>
                <w:sz w:val="24"/>
                <w:szCs w:val="24"/>
              </w:rPr>
              <w:t>upirocin</w:t>
            </w:r>
            <w:proofErr w:type="spellEnd"/>
            <w:r w:rsidR="1FAE3190" w:rsidRPr="290496F1">
              <w:rPr>
                <w:rFonts w:ascii="Calibri" w:eastAsia="Calibri" w:hAnsi="Calibri" w:cs="Calibri"/>
                <w:sz w:val="24"/>
                <w:szCs w:val="24"/>
              </w:rPr>
              <w:t>.</w:t>
            </w:r>
          </w:p>
          <w:p w14:paraId="2E7AD3EF" w14:textId="34D07355" w:rsidR="005564DE" w:rsidRPr="005564DE" w:rsidRDefault="1FAE3190" w:rsidP="00B07ECF">
            <w:pPr>
              <w:numPr>
                <w:ilvl w:val="0"/>
                <w:numId w:val="2"/>
              </w:numPr>
              <w:ind w:left="301" w:hanging="284"/>
              <w:jc w:val="both"/>
              <w:rPr>
                <w:sz w:val="24"/>
                <w:szCs w:val="24"/>
              </w:rPr>
            </w:pPr>
            <w:r w:rsidRPr="290496F1">
              <w:rPr>
                <w:rFonts w:ascii="Calibri" w:eastAsia="Calibri" w:hAnsi="Calibri" w:cs="Calibri"/>
                <w:sz w:val="24"/>
                <w:szCs w:val="24"/>
              </w:rPr>
              <w:t xml:space="preserve">2018 and 2019 recommendations remain unchanged. </w:t>
            </w:r>
          </w:p>
        </w:tc>
      </w:tr>
    </w:tbl>
    <w:p w14:paraId="4C3E6FD6" w14:textId="77777777" w:rsidR="005564DE" w:rsidRPr="00CA4595" w:rsidRDefault="005564DE" w:rsidP="00B07ECF">
      <w:pPr>
        <w:spacing w:after="0" w:line="240" w:lineRule="auto"/>
        <w:rPr>
          <w:rFonts w:ascii="Calibri" w:eastAsia="Calibri" w:hAnsi="Calibri" w:cs="Calibri"/>
        </w:rPr>
      </w:pPr>
    </w:p>
    <w:tbl>
      <w:tblPr>
        <w:tblStyle w:val="TableGrid"/>
        <w:tblW w:w="5000" w:type="pct"/>
        <w:tblLook w:val="04A0" w:firstRow="1" w:lastRow="0" w:firstColumn="1" w:lastColumn="0" w:noHBand="0" w:noVBand="1"/>
      </w:tblPr>
      <w:tblGrid>
        <w:gridCol w:w="1707"/>
        <w:gridCol w:w="1899"/>
        <w:gridCol w:w="1992"/>
        <w:gridCol w:w="1992"/>
        <w:gridCol w:w="1601"/>
        <w:gridCol w:w="1599"/>
      </w:tblGrid>
      <w:tr w:rsidR="005564DE" w:rsidRPr="004F6FFA" w14:paraId="6DC9EF38" w14:textId="77777777" w:rsidTr="290496F1">
        <w:trPr>
          <w:cantSplit/>
          <w:trHeight w:val="371"/>
        </w:trPr>
        <w:tc>
          <w:tcPr>
            <w:tcW w:w="5000" w:type="pct"/>
            <w:gridSpan w:val="6"/>
          </w:tcPr>
          <w:p w14:paraId="12554F25" w14:textId="77777777" w:rsidR="005564DE" w:rsidRPr="004F6FFA" w:rsidRDefault="005564DE" w:rsidP="00B07ECF">
            <w:pPr>
              <w:rPr>
                <w:b/>
                <w:sz w:val="24"/>
                <w:szCs w:val="24"/>
              </w:rPr>
            </w:pPr>
            <w:r>
              <w:rPr>
                <w:b/>
                <w:color w:val="FF0000"/>
                <w:sz w:val="24"/>
                <w:szCs w:val="24"/>
              </w:rPr>
              <w:t>PHC/ADULT HOSPITAL LEVEL EXPERT REVIEW COMMITEE</w:t>
            </w:r>
            <w:r w:rsidRPr="004F6FFA">
              <w:rPr>
                <w:b/>
                <w:color w:val="FF0000"/>
                <w:sz w:val="24"/>
                <w:szCs w:val="24"/>
              </w:rPr>
              <w:t xml:space="preserve"> RECOMMENDATION: </w:t>
            </w:r>
          </w:p>
        </w:tc>
      </w:tr>
      <w:tr w:rsidR="005564DE" w:rsidRPr="004F6FFA" w14:paraId="68090E31" w14:textId="77777777" w:rsidTr="290496F1">
        <w:trPr>
          <w:trHeight w:val="790"/>
        </w:trPr>
        <w:tc>
          <w:tcPr>
            <w:tcW w:w="791" w:type="pct"/>
            <w:vMerge w:val="restart"/>
          </w:tcPr>
          <w:p w14:paraId="76EB1AB2" w14:textId="77777777" w:rsidR="005564DE" w:rsidRPr="004F6FFA" w:rsidRDefault="005564DE" w:rsidP="00B07ECF">
            <w:pPr>
              <w:jc w:val="center"/>
              <w:rPr>
                <w:rFonts w:ascii="Arial Narrow" w:hAnsi="Arial Narrow" w:cstheme="minorHAnsi"/>
                <w:b/>
                <w:sz w:val="24"/>
                <w:szCs w:val="24"/>
              </w:rPr>
            </w:pPr>
          </w:p>
          <w:p w14:paraId="321A05B5" w14:textId="77777777" w:rsidR="005564DE" w:rsidRPr="004F6FFA" w:rsidRDefault="005564DE" w:rsidP="00B07ECF">
            <w:pPr>
              <w:jc w:val="center"/>
              <w:rPr>
                <w:rFonts w:ascii="Arial Narrow" w:hAnsi="Arial Narrow" w:cstheme="minorHAnsi"/>
                <w:b/>
                <w:sz w:val="24"/>
                <w:szCs w:val="24"/>
              </w:rPr>
            </w:pPr>
          </w:p>
          <w:p w14:paraId="2B59C6EC" w14:textId="77777777" w:rsidR="005564DE" w:rsidRPr="004F6FFA" w:rsidRDefault="005564DE" w:rsidP="00B07ECF">
            <w:pPr>
              <w:jc w:val="center"/>
              <w:rPr>
                <w:rFonts w:ascii="Arial Narrow" w:hAnsi="Arial Narrow" w:cstheme="minorHAnsi"/>
                <w:b/>
                <w:sz w:val="24"/>
                <w:szCs w:val="24"/>
              </w:rPr>
            </w:pPr>
            <w:r w:rsidRPr="0005781F">
              <w:rPr>
                <w:rFonts w:ascii="Arial Narrow" w:hAnsi="Arial Narrow" w:cstheme="minorHAnsi"/>
                <w:b/>
                <w:color w:val="FF0000"/>
                <w:sz w:val="20"/>
                <w:szCs w:val="24"/>
              </w:rPr>
              <w:t>Type of recommendation</w:t>
            </w:r>
          </w:p>
        </w:tc>
        <w:tc>
          <w:tcPr>
            <w:tcW w:w="880" w:type="pct"/>
          </w:tcPr>
          <w:p w14:paraId="2E31213B" w14:textId="77777777" w:rsidR="005564DE" w:rsidRPr="004F6FFA" w:rsidRDefault="005564DE" w:rsidP="00B07ECF">
            <w:pPr>
              <w:tabs>
                <w:tab w:val="left" w:pos="510"/>
              </w:tabs>
              <w:jc w:val="center"/>
              <w:rPr>
                <w:rFonts w:ascii="Arial Narrow" w:hAnsi="Arial Narrow" w:cstheme="minorHAnsi"/>
                <w:spacing w:val="-2"/>
                <w:sz w:val="20"/>
                <w:szCs w:val="24"/>
                <w:lang w:val="en-GB" w:eastAsia="nb-NO"/>
              </w:rPr>
            </w:pPr>
            <w:r w:rsidRPr="004F6FFA">
              <w:rPr>
                <w:rFonts w:ascii="Arial Narrow" w:hAnsi="Arial Narrow" w:cstheme="minorHAnsi"/>
                <w:spacing w:val="-2"/>
                <w:sz w:val="20"/>
                <w:szCs w:val="24"/>
                <w:lang w:val="en-GB" w:eastAsia="nb-NO"/>
              </w:rPr>
              <w:t>We recommend against the option and for the alternative</w:t>
            </w:r>
          </w:p>
          <w:p w14:paraId="2DD49194" w14:textId="77777777" w:rsidR="005564DE" w:rsidRPr="004F6FFA" w:rsidRDefault="005564DE" w:rsidP="00B07ECF">
            <w:pPr>
              <w:tabs>
                <w:tab w:val="left" w:pos="510"/>
              </w:tabs>
              <w:jc w:val="center"/>
              <w:rPr>
                <w:rFonts w:ascii="Arial Narrow" w:hAnsi="Arial Narrow" w:cstheme="minorHAnsi"/>
                <w:b/>
                <w:spacing w:val="-2"/>
                <w:sz w:val="20"/>
                <w:szCs w:val="24"/>
                <w:lang w:val="en-GB" w:eastAsia="nb-NO"/>
              </w:rPr>
            </w:pPr>
            <w:r w:rsidRPr="004F6FFA">
              <w:rPr>
                <w:rFonts w:ascii="Arial Narrow" w:hAnsi="Arial Narrow" w:cstheme="minorHAnsi"/>
                <w:b/>
                <w:spacing w:val="-2"/>
                <w:sz w:val="20"/>
                <w:szCs w:val="24"/>
                <w:lang w:val="en-GB" w:eastAsia="nb-NO"/>
              </w:rPr>
              <w:t>(strong)</w:t>
            </w:r>
          </w:p>
        </w:tc>
        <w:tc>
          <w:tcPr>
            <w:tcW w:w="923" w:type="pct"/>
          </w:tcPr>
          <w:p w14:paraId="4EE196A2" w14:textId="77777777" w:rsidR="005564DE" w:rsidRPr="004F6FFA" w:rsidRDefault="005564DE" w:rsidP="00B07ECF">
            <w:pPr>
              <w:jc w:val="center"/>
              <w:rPr>
                <w:rFonts w:ascii="Arial Narrow" w:hAnsi="Arial Narrow" w:cstheme="minorHAnsi"/>
                <w:spacing w:val="-2"/>
                <w:sz w:val="20"/>
                <w:szCs w:val="24"/>
              </w:rPr>
            </w:pPr>
            <w:r w:rsidRPr="004F6FFA">
              <w:rPr>
                <w:rFonts w:ascii="Arial Narrow" w:hAnsi="Arial Narrow" w:cstheme="minorHAnsi"/>
                <w:spacing w:val="-2"/>
                <w:sz w:val="20"/>
                <w:szCs w:val="24"/>
              </w:rPr>
              <w:t xml:space="preserve">We suggest not to use the option </w:t>
            </w:r>
          </w:p>
          <w:p w14:paraId="3F5CA3B6" w14:textId="77777777" w:rsidR="005564DE" w:rsidRPr="004F6FFA" w:rsidRDefault="005564DE" w:rsidP="00B07ECF">
            <w:pPr>
              <w:jc w:val="center"/>
              <w:rPr>
                <w:rFonts w:ascii="Arial Narrow" w:hAnsi="Arial Narrow" w:cstheme="minorHAnsi"/>
                <w:b/>
                <w:spacing w:val="-2"/>
                <w:sz w:val="20"/>
                <w:szCs w:val="24"/>
              </w:rPr>
            </w:pPr>
            <w:r w:rsidRPr="004F6FFA">
              <w:rPr>
                <w:rFonts w:ascii="Arial Narrow" w:hAnsi="Arial Narrow" w:cstheme="minorHAnsi"/>
                <w:b/>
                <w:spacing w:val="-2"/>
                <w:sz w:val="20"/>
                <w:szCs w:val="24"/>
              </w:rPr>
              <w:t>(conditional)</w:t>
            </w:r>
          </w:p>
        </w:tc>
        <w:tc>
          <w:tcPr>
            <w:tcW w:w="923" w:type="pct"/>
          </w:tcPr>
          <w:p w14:paraId="6001554E" w14:textId="77777777" w:rsidR="005564DE" w:rsidRPr="004F6FFA" w:rsidRDefault="005564DE" w:rsidP="00B07ECF">
            <w:pPr>
              <w:jc w:val="center"/>
              <w:rPr>
                <w:rFonts w:ascii="Arial Narrow" w:hAnsi="Arial Narrow" w:cstheme="minorHAnsi"/>
                <w:spacing w:val="-2"/>
                <w:sz w:val="20"/>
                <w:szCs w:val="24"/>
              </w:rPr>
            </w:pPr>
            <w:r w:rsidRPr="004F6FFA">
              <w:rPr>
                <w:rFonts w:ascii="Arial Narrow" w:hAnsi="Arial Narrow" w:cstheme="minorHAnsi"/>
                <w:spacing w:val="-2"/>
                <w:sz w:val="20"/>
                <w:szCs w:val="24"/>
              </w:rPr>
              <w:t xml:space="preserve">We suggest using either the option or the alternative </w:t>
            </w:r>
          </w:p>
          <w:p w14:paraId="2E328986" w14:textId="77777777" w:rsidR="005564DE" w:rsidRPr="004F6FFA" w:rsidRDefault="005564DE" w:rsidP="00B07ECF">
            <w:pPr>
              <w:jc w:val="center"/>
              <w:rPr>
                <w:rFonts w:ascii="Arial Narrow" w:hAnsi="Arial Narrow" w:cstheme="minorHAnsi"/>
                <w:b/>
                <w:spacing w:val="-2"/>
                <w:sz w:val="20"/>
                <w:szCs w:val="24"/>
              </w:rPr>
            </w:pPr>
            <w:r w:rsidRPr="004F6FFA">
              <w:rPr>
                <w:rFonts w:ascii="Arial Narrow" w:hAnsi="Arial Narrow" w:cstheme="minorHAnsi"/>
                <w:b/>
                <w:spacing w:val="-2"/>
                <w:sz w:val="20"/>
                <w:szCs w:val="24"/>
              </w:rPr>
              <w:t>(conditional)</w:t>
            </w:r>
          </w:p>
        </w:tc>
        <w:tc>
          <w:tcPr>
            <w:tcW w:w="742" w:type="pct"/>
          </w:tcPr>
          <w:p w14:paraId="63D29AA4" w14:textId="77777777" w:rsidR="005564DE" w:rsidRPr="004F6FFA" w:rsidRDefault="005564DE" w:rsidP="00B07ECF">
            <w:pPr>
              <w:tabs>
                <w:tab w:val="left" w:pos="510"/>
              </w:tabs>
              <w:jc w:val="center"/>
              <w:rPr>
                <w:rFonts w:ascii="Arial Narrow" w:hAnsi="Arial Narrow" w:cstheme="minorHAnsi"/>
                <w:spacing w:val="-2"/>
                <w:sz w:val="20"/>
                <w:szCs w:val="24"/>
                <w:lang w:val="en-GB" w:eastAsia="nb-NO"/>
              </w:rPr>
            </w:pPr>
            <w:r w:rsidRPr="004F6FFA">
              <w:rPr>
                <w:rFonts w:ascii="Arial Narrow" w:hAnsi="Arial Narrow" w:cstheme="minorHAnsi"/>
                <w:spacing w:val="-2"/>
                <w:sz w:val="20"/>
                <w:szCs w:val="24"/>
                <w:lang w:val="en-GB" w:eastAsia="nb-NO"/>
              </w:rPr>
              <w:t>We suggest</w:t>
            </w:r>
          </w:p>
          <w:p w14:paraId="218371ED" w14:textId="77777777" w:rsidR="005564DE" w:rsidRPr="004F6FFA" w:rsidRDefault="005564DE" w:rsidP="00B07ECF">
            <w:pPr>
              <w:jc w:val="center"/>
              <w:rPr>
                <w:rFonts w:ascii="Arial Narrow" w:hAnsi="Arial Narrow" w:cstheme="minorHAnsi"/>
                <w:spacing w:val="-2"/>
                <w:sz w:val="20"/>
                <w:szCs w:val="24"/>
              </w:rPr>
            </w:pPr>
            <w:r w:rsidRPr="004F6FFA">
              <w:rPr>
                <w:rFonts w:ascii="Arial Narrow" w:hAnsi="Arial Narrow" w:cstheme="minorHAnsi"/>
                <w:spacing w:val="-2"/>
                <w:sz w:val="20"/>
                <w:szCs w:val="24"/>
                <w:lang w:val="en-GB" w:eastAsia="nb-NO"/>
              </w:rPr>
              <w:t>using the option</w:t>
            </w:r>
            <w:r w:rsidRPr="004F6FFA">
              <w:rPr>
                <w:rFonts w:ascii="Arial Narrow" w:eastAsia="Calibri" w:hAnsi="Arial Narrow" w:cstheme="minorHAnsi"/>
                <w:spacing w:val="-2"/>
                <w:sz w:val="20"/>
                <w:szCs w:val="24"/>
                <w:lang w:val="en-GB"/>
              </w:rPr>
              <w:t xml:space="preserve"> </w:t>
            </w:r>
            <w:r w:rsidRPr="004F6FFA">
              <w:rPr>
                <w:rFonts w:ascii="Arial Narrow" w:eastAsia="Calibri" w:hAnsi="Arial Narrow" w:cstheme="minorHAnsi"/>
                <w:b/>
                <w:spacing w:val="-2"/>
                <w:sz w:val="20"/>
                <w:szCs w:val="24"/>
                <w:lang w:val="en-GB"/>
              </w:rPr>
              <w:t>(conditional)</w:t>
            </w:r>
          </w:p>
        </w:tc>
        <w:tc>
          <w:tcPr>
            <w:tcW w:w="742" w:type="pct"/>
          </w:tcPr>
          <w:p w14:paraId="4AB65D99" w14:textId="77777777" w:rsidR="005564DE" w:rsidRPr="004F6FFA" w:rsidRDefault="005564DE" w:rsidP="00B07ECF">
            <w:pPr>
              <w:tabs>
                <w:tab w:val="left" w:pos="510"/>
              </w:tabs>
              <w:jc w:val="center"/>
              <w:rPr>
                <w:rFonts w:ascii="Arial Narrow" w:hAnsi="Arial Narrow" w:cstheme="minorHAnsi"/>
                <w:spacing w:val="-2"/>
                <w:sz w:val="20"/>
                <w:szCs w:val="24"/>
                <w:lang w:val="en-GB" w:eastAsia="nb-NO"/>
              </w:rPr>
            </w:pPr>
            <w:r w:rsidRPr="004F6FFA">
              <w:rPr>
                <w:rFonts w:ascii="Arial Narrow" w:hAnsi="Arial Narrow" w:cstheme="minorHAnsi"/>
                <w:spacing w:val="-2"/>
                <w:sz w:val="20"/>
                <w:szCs w:val="24"/>
                <w:lang w:val="en-GB" w:eastAsia="nb-NO"/>
              </w:rPr>
              <w:t>We recommend</w:t>
            </w:r>
          </w:p>
          <w:p w14:paraId="5131A1E1" w14:textId="77777777" w:rsidR="005564DE" w:rsidRPr="004F6FFA" w:rsidRDefault="005564DE" w:rsidP="00B07ECF">
            <w:pPr>
              <w:tabs>
                <w:tab w:val="left" w:pos="510"/>
              </w:tabs>
              <w:jc w:val="center"/>
              <w:rPr>
                <w:rFonts w:ascii="Arial Narrow" w:hAnsi="Arial Narrow" w:cstheme="minorHAnsi"/>
                <w:spacing w:val="-2"/>
                <w:sz w:val="20"/>
                <w:szCs w:val="24"/>
                <w:lang w:val="en-GB" w:eastAsia="nb-NO"/>
              </w:rPr>
            </w:pPr>
            <w:r w:rsidRPr="004F6FFA">
              <w:rPr>
                <w:rFonts w:ascii="Arial Narrow" w:hAnsi="Arial Narrow" w:cstheme="minorHAnsi"/>
                <w:spacing w:val="-2"/>
                <w:sz w:val="20"/>
                <w:szCs w:val="24"/>
                <w:lang w:val="en-GB" w:eastAsia="nb-NO"/>
              </w:rPr>
              <w:t>the option</w:t>
            </w:r>
          </w:p>
          <w:p w14:paraId="781C12C5" w14:textId="77777777" w:rsidR="005564DE" w:rsidRPr="004F6FFA" w:rsidRDefault="005564DE" w:rsidP="00B07ECF">
            <w:pPr>
              <w:jc w:val="center"/>
              <w:rPr>
                <w:rFonts w:ascii="Arial Narrow" w:hAnsi="Arial Narrow" w:cstheme="minorHAnsi"/>
                <w:b/>
                <w:spacing w:val="-2"/>
                <w:sz w:val="20"/>
                <w:szCs w:val="24"/>
              </w:rPr>
            </w:pPr>
            <w:r w:rsidRPr="004F6FFA">
              <w:rPr>
                <w:rFonts w:ascii="Arial Narrow" w:hAnsi="Arial Narrow" w:cstheme="minorHAnsi"/>
                <w:b/>
                <w:spacing w:val="-2"/>
                <w:sz w:val="20"/>
                <w:szCs w:val="24"/>
                <w:lang w:val="en-GB" w:eastAsia="nb-NO"/>
              </w:rPr>
              <w:t>(strong)</w:t>
            </w:r>
          </w:p>
        </w:tc>
      </w:tr>
      <w:tr w:rsidR="005564DE" w:rsidRPr="004F6FFA" w14:paraId="6BEC947D" w14:textId="77777777" w:rsidTr="005660BB">
        <w:trPr>
          <w:trHeight w:val="80"/>
        </w:trPr>
        <w:tc>
          <w:tcPr>
            <w:tcW w:w="791" w:type="pct"/>
            <w:vMerge/>
          </w:tcPr>
          <w:p w14:paraId="3E726D1B" w14:textId="77777777" w:rsidR="005564DE" w:rsidRPr="004F6FFA" w:rsidRDefault="005564DE" w:rsidP="00B07ECF">
            <w:pPr>
              <w:rPr>
                <w:rFonts w:cstheme="minorHAnsi"/>
                <w:sz w:val="24"/>
                <w:szCs w:val="24"/>
              </w:rPr>
            </w:pPr>
          </w:p>
        </w:tc>
        <w:tc>
          <w:tcPr>
            <w:tcW w:w="880" w:type="pct"/>
          </w:tcPr>
          <w:p w14:paraId="46D06F96" w14:textId="77777777" w:rsidR="005564DE" w:rsidRPr="004F6FFA" w:rsidRDefault="005564DE" w:rsidP="00B07ECF">
            <w:pPr>
              <w:jc w:val="center"/>
              <w:rPr>
                <w:rFonts w:cstheme="minorHAnsi"/>
                <w:sz w:val="24"/>
                <w:szCs w:val="24"/>
              </w:rPr>
            </w:pPr>
          </w:p>
        </w:tc>
        <w:tc>
          <w:tcPr>
            <w:tcW w:w="923" w:type="pct"/>
          </w:tcPr>
          <w:p w14:paraId="4555B1F9" w14:textId="352107C6" w:rsidR="005564DE" w:rsidRPr="004F6FFA" w:rsidRDefault="00C43ADD" w:rsidP="00B07ECF">
            <w:pPr>
              <w:jc w:val="center"/>
              <w:rPr>
                <w:rFonts w:cstheme="minorHAnsi"/>
                <w:b/>
                <w:sz w:val="24"/>
                <w:szCs w:val="24"/>
              </w:rPr>
            </w:pPr>
            <w:r w:rsidRPr="005660BB">
              <w:rPr>
                <w:rFonts w:cstheme="minorHAnsi"/>
                <w:b/>
                <w:color w:val="FF0000"/>
                <w:sz w:val="20"/>
                <w:szCs w:val="24"/>
              </w:rPr>
              <w:t>X</w:t>
            </w:r>
          </w:p>
        </w:tc>
        <w:tc>
          <w:tcPr>
            <w:tcW w:w="923" w:type="pct"/>
          </w:tcPr>
          <w:p w14:paraId="03996731" w14:textId="77777777" w:rsidR="005564DE" w:rsidRPr="004F6FFA" w:rsidRDefault="005564DE" w:rsidP="00B07ECF">
            <w:pPr>
              <w:jc w:val="center"/>
              <w:rPr>
                <w:rFonts w:cstheme="minorHAnsi"/>
                <w:sz w:val="24"/>
                <w:szCs w:val="24"/>
              </w:rPr>
            </w:pPr>
          </w:p>
        </w:tc>
        <w:tc>
          <w:tcPr>
            <w:tcW w:w="742" w:type="pct"/>
          </w:tcPr>
          <w:p w14:paraId="2F186C16" w14:textId="54AF67CC" w:rsidR="005564DE" w:rsidRPr="004F6FFA" w:rsidRDefault="005564DE" w:rsidP="00B07ECF">
            <w:pPr>
              <w:jc w:val="center"/>
              <w:rPr>
                <w:rFonts w:cstheme="minorHAnsi"/>
                <w:b/>
                <w:sz w:val="24"/>
                <w:szCs w:val="24"/>
              </w:rPr>
            </w:pPr>
          </w:p>
        </w:tc>
        <w:tc>
          <w:tcPr>
            <w:tcW w:w="742" w:type="pct"/>
          </w:tcPr>
          <w:p w14:paraId="56F7650D" w14:textId="77777777" w:rsidR="005564DE" w:rsidRPr="004F6FFA" w:rsidRDefault="005564DE" w:rsidP="00B07ECF">
            <w:pPr>
              <w:jc w:val="center"/>
              <w:rPr>
                <w:rFonts w:cstheme="minorHAnsi"/>
                <w:b/>
                <w:sz w:val="24"/>
                <w:szCs w:val="24"/>
              </w:rPr>
            </w:pPr>
          </w:p>
        </w:tc>
      </w:tr>
      <w:tr w:rsidR="005564DE" w:rsidRPr="004F6FFA" w14:paraId="53E73673" w14:textId="77777777" w:rsidTr="290496F1">
        <w:trPr>
          <w:trHeight w:val="1630"/>
        </w:trPr>
        <w:tc>
          <w:tcPr>
            <w:tcW w:w="5000" w:type="pct"/>
            <w:gridSpan w:val="6"/>
          </w:tcPr>
          <w:p w14:paraId="6E096768" w14:textId="4B8377E5" w:rsidR="005564DE" w:rsidRPr="00E3294F" w:rsidRDefault="005564DE" w:rsidP="00B07ECF">
            <w:pPr>
              <w:jc w:val="both"/>
              <w:rPr>
                <w:rFonts w:ascii="Calibri" w:eastAsia="Calibri" w:hAnsi="Calibri" w:cs="Calibri"/>
                <w:sz w:val="24"/>
                <w:szCs w:val="24"/>
              </w:rPr>
            </w:pPr>
            <w:r w:rsidRPr="00E3294F">
              <w:rPr>
                <w:rFonts w:cstheme="minorHAnsi"/>
                <w:b/>
                <w:spacing w:val="-2"/>
                <w:sz w:val="24"/>
                <w:szCs w:val="24"/>
              </w:rPr>
              <w:t xml:space="preserve">Recommendation: </w:t>
            </w:r>
            <w:r w:rsidR="00C43ADD" w:rsidRPr="00E3294F">
              <w:rPr>
                <w:rFonts w:cstheme="minorHAnsi"/>
                <w:spacing w:val="-2"/>
                <w:sz w:val="24"/>
                <w:szCs w:val="24"/>
              </w:rPr>
              <w:t xml:space="preserve">Current standard of care in the STG </w:t>
            </w:r>
            <w:r w:rsidR="0005781F" w:rsidRPr="00E3294F">
              <w:rPr>
                <w:rFonts w:cstheme="minorHAnsi"/>
                <w:spacing w:val="-2"/>
                <w:sz w:val="24"/>
                <w:szCs w:val="24"/>
              </w:rPr>
              <w:t>to</w:t>
            </w:r>
            <w:r w:rsidR="00C43ADD" w:rsidRPr="00E3294F">
              <w:rPr>
                <w:rFonts w:cstheme="minorHAnsi"/>
                <w:spacing w:val="-2"/>
                <w:sz w:val="24"/>
                <w:szCs w:val="24"/>
              </w:rPr>
              <w:t xml:space="preserve"> </w:t>
            </w:r>
            <w:proofErr w:type="gramStart"/>
            <w:r w:rsidR="00C43ADD" w:rsidRPr="00E3294F">
              <w:rPr>
                <w:rFonts w:cstheme="minorHAnsi"/>
                <w:spacing w:val="-2"/>
                <w:sz w:val="24"/>
                <w:szCs w:val="24"/>
              </w:rPr>
              <w:t>be retained</w:t>
            </w:r>
            <w:proofErr w:type="gramEnd"/>
            <w:r w:rsidR="0005781F" w:rsidRPr="00E3294F">
              <w:rPr>
                <w:rFonts w:cstheme="minorHAnsi"/>
                <w:spacing w:val="-2"/>
                <w:sz w:val="24"/>
                <w:szCs w:val="24"/>
              </w:rPr>
              <w:t xml:space="preserve"> – topical povidone iodine for infected burns.</w:t>
            </w:r>
          </w:p>
          <w:p w14:paraId="05E20B5E" w14:textId="51D1C9BD" w:rsidR="005564DE" w:rsidRPr="00E3294F" w:rsidRDefault="005564DE" w:rsidP="0005781F">
            <w:pPr>
              <w:jc w:val="both"/>
              <w:rPr>
                <w:rFonts w:cstheme="minorHAnsi"/>
                <w:spacing w:val="-2"/>
                <w:sz w:val="24"/>
                <w:szCs w:val="24"/>
              </w:rPr>
            </w:pPr>
            <w:r w:rsidRPr="00E3294F">
              <w:rPr>
                <w:i/>
                <w:iCs/>
                <w:spacing w:val="-2"/>
                <w:sz w:val="24"/>
                <w:szCs w:val="24"/>
              </w:rPr>
              <w:t xml:space="preserve">Rationale: </w:t>
            </w:r>
            <w:r w:rsidR="67964334" w:rsidRPr="00E3294F">
              <w:rPr>
                <w:i/>
                <w:iCs/>
                <w:spacing w:val="-2"/>
                <w:sz w:val="24"/>
                <w:szCs w:val="24"/>
              </w:rPr>
              <w:t xml:space="preserve"> </w:t>
            </w:r>
            <w:r w:rsidR="00C43ADD" w:rsidRPr="00E3294F">
              <w:rPr>
                <w:rFonts w:cstheme="minorHAnsi"/>
                <w:spacing w:val="-2"/>
                <w:sz w:val="24"/>
                <w:szCs w:val="24"/>
              </w:rPr>
              <w:t xml:space="preserve">No new evidence </w:t>
            </w:r>
            <w:proofErr w:type="gramStart"/>
            <w:r w:rsidR="0005781F" w:rsidRPr="00E3294F">
              <w:rPr>
                <w:rFonts w:cstheme="minorHAnsi"/>
                <w:spacing w:val="-2"/>
                <w:sz w:val="24"/>
                <w:szCs w:val="24"/>
              </w:rPr>
              <w:t>could be identified</w:t>
            </w:r>
            <w:proofErr w:type="gramEnd"/>
            <w:r w:rsidR="0005781F" w:rsidRPr="00E3294F">
              <w:rPr>
                <w:rFonts w:cstheme="minorHAnsi"/>
                <w:spacing w:val="-2"/>
                <w:sz w:val="24"/>
                <w:szCs w:val="24"/>
              </w:rPr>
              <w:t xml:space="preserve"> for alternative treatment options for septic burns.</w:t>
            </w:r>
          </w:p>
          <w:p w14:paraId="7835395D" w14:textId="7B1384C4" w:rsidR="0005781F" w:rsidRPr="00E3294F" w:rsidRDefault="0005781F" w:rsidP="0005781F">
            <w:pPr>
              <w:jc w:val="both"/>
              <w:rPr>
                <w:i/>
                <w:iCs/>
                <w:sz w:val="24"/>
                <w:szCs w:val="24"/>
              </w:rPr>
            </w:pPr>
            <w:r w:rsidRPr="00E3294F">
              <w:rPr>
                <w:rFonts w:cstheme="minorHAnsi"/>
                <w:b/>
                <w:spacing w:val="-2"/>
                <w:sz w:val="24"/>
                <w:szCs w:val="24"/>
              </w:rPr>
              <w:t>Level of Evidence:</w:t>
            </w:r>
            <w:r w:rsidRPr="00E3294F">
              <w:rPr>
                <w:rFonts w:cstheme="minorHAnsi"/>
                <w:spacing w:val="-2"/>
                <w:sz w:val="24"/>
                <w:szCs w:val="24"/>
              </w:rPr>
              <w:t xml:space="preserve"> Low to very low certainty</w:t>
            </w:r>
          </w:p>
          <w:p w14:paraId="4930101E" w14:textId="258D3B63" w:rsidR="005564DE" w:rsidRPr="004F6FFA" w:rsidRDefault="00C43ADD" w:rsidP="00B07ECF">
            <w:pPr>
              <w:rPr>
                <w:b/>
                <w:bCs/>
                <w:sz w:val="24"/>
                <w:szCs w:val="24"/>
              </w:rPr>
            </w:pPr>
            <w:r w:rsidRPr="00E3294F">
              <w:rPr>
                <w:b/>
                <w:bCs/>
                <w:sz w:val="24"/>
                <w:szCs w:val="24"/>
              </w:rPr>
              <w:t>Review indicator:</w:t>
            </w:r>
            <w:r w:rsidRPr="00E3294F">
              <w:rPr>
                <w:bCs/>
                <w:sz w:val="24"/>
                <w:szCs w:val="24"/>
              </w:rPr>
              <w:t xml:space="preserve"> New evidence </w:t>
            </w:r>
            <w:r w:rsidR="0005781F" w:rsidRPr="00E3294F">
              <w:rPr>
                <w:bCs/>
                <w:sz w:val="24"/>
                <w:szCs w:val="24"/>
              </w:rPr>
              <w:t>sufficient to change the recommendation</w:t>
            </w:r>
          </w:p>
        </w:tc>
      </w:tr>
      <w:tr w:rsidR="005564DE" w:rsidRPr="004F6FFA" w14:paraId="49BFC442" w14:textId="77777777" w:rsidTr="290496F1">
        <w:trPr>
          <w:trHeight w:val="1231"/>
        </w:trPr>
        <w:tc>
          <w:tcPr>
            <w:tcW w:w="5000" w:type="pct"/>
            <w:gridSpan w:val="6"/>
          </w:tcPr>
          <w:p w14:paraId="7CB1779A" w14:textId="77777777" w:rsidR="005564DE" w:rsidRDefault="00CB67E3" w:rsidP="00B07ECF">
            <w:pPr>
              <w:jc w:val="both"/>
              <w:rPr>
                <w:rFonts w:cstheme="minorHAnsi"/>
                <w:b/>
                <w:color w:val="FF0000"/>
                <w:spacing w:val="-2"/>
                <w:sz w:val="24"/>
                <w:szCs w:val="24"/>
                <w:u w:val="single"/>
              </w:rPr>
            </w:pPr>
            <w:r w:rsidRPr="008F51C0">
              <w:rPr>
                <w:rFonts w:cstheme="minorHAnsi"/>
                <w:b/>
                <w:color w:val="FF0000"/>
                <w:spacing w:val="-2"/>
                <w:sz w:val="24"/>
                <w:szCs w:val="24"/>
                <w:u w:val="single"/>
              </w:rPr>
              <w:t>NEMLC RECOMMENDATION</w:t>
            </w:r>
            <w:r w:rsidR="008F51C0" w:rsidRPr="008F51C0">
              <w:rPr>
                <w:rFonts w:cstheme="minorHAnsi"/>
                <w:b/>
                <w:color w:val="FF0000"/>
                <w:spacing w:val="-2"/>
                <w:sz w:val="24"/>
                <w:szCs w:val="24"/>
                <w:u w:val="single"/>
              </w:rPr>
              <w:t xml:space="preserve"> (MEETING OF 23 JUNE 2022)</w:t>
            </w:r>
            <w:r w:rsidRPr="008F51C0">
              <w:rPr>
                <w:rFonts w:cstheme="minorHAnsi"/>
                <w:b/>
                <w:color w:val="FF0000"/>
                <w:spacing w:val="-2"/>
                <w:sz w:val="24"/>
                <w:szCs w:val="24"/>
                <w:u w:val="single"/>
              </w:rPr>
              <w:t>:</w:t>
            </w:r>
          </w:p>
          <w:p w14:paraId="6820B4AA" w14:textId="12B54016" w:rsidR="001D5E15" w:rsidRPr="008F51C0" w:rsidRDefault="00980DA6" w:rsidP="00980DA6">
            <w:pPr>
              <w:jc w:val="both"/>
              <w:rPr>
                <w:rFonts w:cstheme="minorHAnsi"/>
                <w:b/>
                <w:spacing w:val="-2"/>
                <w:sz w:val="24"/>
                <w:szCs w:val="24"/>
                <w:u w:val="single"/>
              </w:rPr>
            </w:pPr>
            <w:r w:rsidRPr="005660BB">
              <w:rPr>
                <w:rFonts w:cstheme="minorHAnsi"/>
                <w:color w:val="FF0000"/>
                <w:sz w:val="24"/>
                <w:shd w:val="clear" w:color="auto" w:fill="FFFFFF"/>
              </w:rPr>
              <w:t xml:space="preserve">NEMLC accepted the review and proposed recommendation, but recommended that the PHC/Adult Hospital Level Committee consider reviewing other dressings for wounds, noting that this topic </w:t>
            </w:r>
            <w:proofErr w:type="gramStart"/>
            <w:r w:rsidRPr="005660BB">
              <w:rPr>
                <w:rFonts w:cstheme="minorHAnsi"/>
                <w:color w:val="FF0000"/>
                <w:sz w:val="24"/>
                <w:shd w:val="clear" w:color="auto" w:fill="FFFFFF"/>
              </w:rPr>
              <w:t xml:space="preserve">would be </w:t>
            </w:r>
            <w:proofErr w:type="spellStart"/>
            <w:r w:rsidRPr="005660BB">
              <w:rPr>
                <w:rFonts w:cstheme="minorHAnsi"/>
                <w:color w:val="FF0000"/>
                <w:sz w:val="24"/>
                <w:shd w:val="clear" w:color="auto" w:fill="FFFFFF"/>
              </w:rPr>
              <w:t>prioritised</w:t>
            </w:r>
            <w:proofErr w:type="spellEnd"/>
            <w:proofErr w:type="gramEnd"/>
            <w:r w:rsidRPr="005660BB">
              <w:rPr>
                <w:rFonts w:cstheme="minorHAnsi"/>
                <w:color w:val="FF0000"/>
                <w:sz w:val="24"/>
                <w:shd w:val="clear" w:color="auto" w:fill="FFFFFF"/>
              </w:rPr>
              <w:t xml:space="preserve"> in the topic prioritisation project plan and may be reviewed in the next review cycle. Furthermore, it </w:t>
            </w:r>
            <w:proofErr w:type="gramStart"/>
            <w:r w:rsidRPr="005660BB">
              <w:rPr>
                <w:rFonts w:cstheme="minorHAnsi"/>
                <w:color w:val="FF0000"/>
                <w:sz w:val="24"/>
                <w:shd w:val="clear" w:color="auto" w:fill="FFFFFF"/>
              </w:rPr>
              <w:t>was noted</w:t>
            </w:r>
            <w:proofErr w:type="gramEnd"/>
            <w:r w:rsidRPr="005660BB">
              <w:rPr>
                <w:rFonts w:cstheme="minorHAnsi"/>
                <w:color w:val="FF0000"/>
                <w:sz w:val="24"/>
                <w:shd w:val="clear" w:color="auto" w:fill="FFFFFF"/>
              </w:rPr>
              <w:t xml:space="preserve"> that wound dressings are not funded from the Provincial Pharmaceutical budgets.</w:t>
            </w:r>
          </w:p>
        </w:tc>
      </w:tr>
      <w:tr w:rsidR="00CB67E3" w:rsidRPr="004F6FFA" w14:paraId="3AD74BDB" w14:textId="77777777" w:rsidTr="290496F1">
        <w:trPr>
          <w:trHeight w:val="265"/>
        </w:trPr>
        <w:tc>
          <w:tcPr>
            <w:tcW w:w="5000" w:type="pct"/>
            <w:gridSpan w:val="6"/>
          </w:tcPr>
          <w:p w14:paraId="5CD90465" w14:textId="77777777" w:rsidR="00CB67E3" w:rsidRPr="00CB67E3" w:rsidRDefault="00641826" w:rsidP="00B07ECF">
            <w:pPr>
              <w:rPr>
                <w:rFonts w:ascii="Calibri" w:eastAsia="SimSun" w:hAnsi="Calibri" w:cs="Calibri"/>
                <w:b/>
                <w:bCs/>
                <w:iCs/>
                <w:noProof/>
                <w:lang w:val="en-GB" w:eastAsia="ja-JP"/>
              </w:rPr>
            </w:pPr>
            <w:hyperlink w:anchor="Monitoring" w:tooltip="What indicators should be monitored? Is there a need to evaluate the impacts of the option, either in a pilot study or an impact evaluation carried out alongside or before full implementation of the option?" w:history="1">
              <w:r w:rsidR="00CB67E3" w:rsidRPr="00CB67E3">
                <w:rPr>
                  <w:rFonts w:ascii="Calibri" w:eastAsia="SimSun" w:hAnsi="Calibri" w:cs="Calibri"/>
                  <w:b/>
                  <w:bCs/>
                  <w:iCs/>
                  <w:noProof/>
                  <w:lang w:val="en-GB" w:eastAsia="ja-JP"/>
                </w:rPr>
                <w:t>Monitoring and evaluation</w:t>
              </w:r>
            </w:hyperlink>
            <w:r w:rsidR="00CB67E3" w:rsidRPr="00CB67E3">
              <w:rPr>
                <w:rFonts w:ascii="Calibri" w:eastAsia="SimSun" w:hAnsi="Calibri" w:cs="Calibri"/>
                <w:b/>
                <w:bCs/>
                <w:iCs/>
                <w:noProof/>
                <w:lang w:val="en-GB" w:eastAsia="ja-JP"/>
              </w:rPr>
              <w:t xml:space="preserve"> considerations</w:t>
            </w:r>
          </w:p>
          <w:p w14:paraId="0C8A9087" w14:textId="77777777" w:rsidR="00CB67E3" w:rsidRPr="00CB67E3" w:rsidRDefault="00CB67E3" w:rsidP="00B07ECF">
            <w:pPr>
              <w:jc w:val="both"/>
              <w:rPr>
                <w:rFonts w:cstheme="minorHAnsi"/>
                <w:b/>
                <w:spacing w:val="-2"/>
              </w:rPr>
            </w:pPr>
          </w:p>
        </w:tc>
      </w:tr>
      <w:tr w:rsidR="00CB67E3" w:rsidRPr="004F6FFA" w14:paraId="33E8205E" w14:textId="77777777" w:rsidTr="290496F1">
        <w:trPr>
          <w:trHeight w:val="287"/>
        </w:trPr>
        <w:tc>
          <w:tcPr>
            <w:tcW w:w="5000" w:type="pct"/>
            <w:gridSpan w:val="6"/>
          </w:tcPr>
          <w:p w14:paraId="7085EEF7" w14:textId="77777777" w:rsidR="00CB67E3" w:rsidRDefault="00CB67E3" w:rsidP="00B07ECF">
            <w:pPr>
              <w:jc w:val="both"/>
              <w:rPr>
                <w:rFonts w:cstheme="minorHAnsi"/>
                <w:b/>
                <w:spacing w:val="-2"/>
              </w:rPr>
            </w:pPr>
            <w:r w:rsidRPr="00CB67E3">
              <w:rPr>
                <w:rFonts w:cstheme="minorHAnsi"/>
                <w:b/>
                <w:spacing w:val="-2"/>
              </w:rPr>
              <w:t>Research priorities</w:t>
            </w:r>
          </w:p>
          <w:p w14:paraId="5D2D74D6" w14:textId="77777777" w:rsidR="00CB67E3" w:rsidRPr="00CB67E3" w:rsidRDefault="00CB67E3" w:rsidP="00B07ECF">
            <w:pPr>
              <w:jc w:val="both"/>
              <w:rPr>
                <w:rFonts w:cstheme="minorHAnsi"/>
                <w:b/>
                <w:spacing w:val="-2"/>
              </w:rPr>
            </w:pPr>
          </w:p>
        </w:tc>
      </w:tr>
    </w:tbl>
    <w:p w14:paraId="6B2E7BD4" w14:textId="77777777" w:rsidR="008646FD" w:rsidRPr="008646FD" w:rsidRDefault="008646FD" w:rsidP="0005781F">
      <w:pPr>
        <w:spacing w:line="240" w:lineRule="auto"/>
      </w:pPr>
    </w:p>
    <w:p w14:paraId="7151715E" w14:textId="77777777" w:rsidR="008646FD" w:rsidRDefault="008646FD" w:rsidP="0005781F">
      <w:pPr>
        <w:tabs>
          <w:tab w:val="left" w:pos="6738"/>
        </w:tabs>
        <w:spacing w:line="240" w:lineRule="auto"/>
      </w:pPr>
      <w:r>
        <w:tab/>
      </w:r>
    </w:p>
    <w:p w14:paraId="5C771F01" w14:textId="77777777" w:rsidR="00CB67E3" w:rsidRPr="008646FD" w:rsidRDefault="008646FD" w:rsidP="0005781F">
      <w:pPr>
        <w:tabs>
          <w:tab w:val="left" w:pos="6738"/>
        </w:tabs>
        <w:spacing w:line="240" w:lineRule="auto"/>
        <w:sectPr w:rsidR="00CB67E3" w:rsidRPr="008646FD" w:rsidSect="00CB67E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pPr>
      <w:r>
        <w:tab/>
      </w:r>
    </w:p>
    <w:p w14:paraId="60ED4CF1" w14:textId="77777777" w:rsidR="005564DE" w:rsidRDefault="005564DE" w:rsidP="00B07ECF">
      <w:pPr>
        <w:pStyle w:val="ListParagraph"/>
        <w:numPr>
          <w:ilvl w:val="0"/>
          <w:numId w:val="1"/>
        </w:numPr>
        <w:spacing w:after="0" w:line="240" w:lineRule="auto"/>
        <w:ind w:left="284" w:hanging="284"/>
        <w:rPr>
          <w:b/>
        </w:rPr>
      </w:pPr>
      <w:r w:rsidRPr="004F0E43">
        <w:rPr>
          <w:b/>
        </w:rPr>
        <w:lastRenderedPageBreak/>
        <w:t>Executive Summary</w:t>
      </w:r>
    </w:p>
    <w:tbl>
      <w:tblPr>
        <w:tblStyle w:val="TableGrid"/>
        <w:tblW w:w="5000" w:type="pct"/>
        <w:tblLook w:val="04A0" w:firstRow="1" w:lastRow="0" w:firstColumn="1" w:lastColumn="0" w:noHBand="0" w:noVBand="1"/>
      </w:tblPr>
      <w:tblGrid>
        <w:gridCol w:w="10457"/>
      </w:tblGrid>
      <w:tr w:rsidR="005564DE" w14:paraId="7AFBBB48" w14:textId="77777777" w:rsidTr="00B07ECF">
        <w:tc>
          <w:tcPr>
            <w:tcW w:w="5000" w:type="pct"/>
          </w:tcPr>
          <w:p w14:paraId="0AADA2C1" w14:textId="53C115A2" w:rsidR="005564DE" w:rsidRDefault="005564DE" w:rsidP="00B07ECF">
            <w:pPr>
              <w:pStyle w:val="ListParagraph"/>
              <w:ind w:left="0"/>
              <w:rPr>
                <w:b/>
              </w:rPr>
            </w:pPr>
            <w:r>
              <w:rPr>
                <w:b/>
              </w:rPr>
              <w:t>Date:</w:t>
            </w:r>
            <w:r w:rsidR="00FF4F5D">
              <w:rPr>
                <w:b/>
              </w:rPr>
              <w:t xml:space="preserve"> </w:t>
            </w:r>
            <w:r w:rsidR="0005781F">
              <w:rPr>
                <w:bCs/>
              </w:rPr>
              <w:t>21</w:t>
            </w:r>
            <w:r w:rsidR="0005781F" w:rsidRPr="00FF4F5D">
              <w:rPr>
                <w:bCs/>
              </w:rPr>
              <w:t xml:space="preserve"> </w:t>
            </w:r>
            <w:r w:rsidR="00FF4F5D" w:rsidRPr="00FF4F5D">
              <w:rPr>
                <w:bCs/>
              </w:rPr>
              <w:t>October 2021</w:t>
            </w:r>
          </w:p>
          <w:p w14:paraId="42497A7D" w14:textId="56EF39A3" w:rsidR="005564DE" w:rsidRDefault="005564DE" w:rsidP="00B07ECF">
            <w:pPr>
              <w:pStyle w:val="ListParagraph"/>
              <w:ind w:left="0"/>
              <w:rPr>
                <w:b/>
              </w:rPr>
            </w:pPr>
            <w:r>
              <w:rPr>
                <w:b/>
              </w:rPr>
              <w:t>Medicine (INN):</w:t>
            </w:r>
            <w:r w:rsidR="008F51C0">
              <w:rPr>
                <w:b/>
              </w:rPr>
              <w:t xml:space="preserve"> </w:t>
            </w:r>
            <w:r w:rsidR="008F51C0" w:rsidRPr="008F51C0">
              <w:t>Dressings for burns</w:t>
            </w:r>
            <w:r w:rsidR="008F51C0">
              <w:t xml:space="preserve"> (antibiotics and chemotherapeutics for dermatological use)</w:t>
            </w:r>
          </w:p>
          <w:p w14:paraId="17ECE5FA" w14:textId="218F8B83" w:rsidR="005564DE" w:rsidRPr="00C90128" w:rsidRDefault="005564DE" w:rsidP="00B07ECF">
            <w:pPr>
              <w:pStyle w:val="ListParagraph"/>
              <w:ind w:left="0"/>
            </w:pPr>
            <w:r>
              <w:rPr>
                <w:b/>
              </w:rPr>
              <w:t xml:space="preserve">Medicine (ATC): </w:t>
            </w:r>
            <w:r w:rsidR="008F51C0" w:rsidRPr="008F51C0">
              <w:t>D06</w:t>
            </w:r>
          </w:p>
          <w:p w14:paraId="763F761E" w14:textId="1DEB815B" w:rsidR="005564DE" w:rsidRDefault="005564DE" w:rsidP="00B07ECF">
            <w:pPr>
              <w:pStyle w:val="ListParagraph"/>
              <w:ind w:left="0"/>
              <w:rPr>
                <w:b/>
              </w:rPr>
            </w:pPr>
            <w:r>
              <w:rPr>
                <w:b/>
              </w:rPr>
              <w:t xml:space="preserve">Indication (ICD10 code): </w:t>
            </w:r>
            <w:r w:rsidR="008F51C0" w:rsidRPr="008F51C0">
              <w:t>Burns T30.0-3/T31.0-9 + (Y34.99)</w:t>
            </w:r>
          </w:p>
          <w:p w14:paraId="0DB179DD" w14:textId="77777777" w:rsidR="0005781F" w:rsidRDefault="005564DE" w:rsidP="00B07ECF">
            <w:pPr>
              <w:pStyle w:val="ListParagraph"/>
              <w:ind w:left="0"/>
              <w:rPr>
                <w:bCs/>
              </w:rPr>
            </w:pPr>
            <w:r>
              <w:rPr>
                <w:b/>
              </w:rPr>
              <w:t>Patient population:</w:t>
            </w:r>
            <w:r w:rsidR="00FF4F5D">
              <w:rPr>
                <w:b/>
              </w:rPr>
              <w:t xml:space="preserve"> </w:t>
            </w:r>
            <w:r w:rsidR="0005781F">
              <w:rPr>
                <w:bCs/>
              </w:rPr>
              <w:t xml:space="preserve">Adults and </w:t>
            </w:r>
            <w:proofErr w:type="spellStart"/>
            <w:r w:rsidR="0005781F">
              <w:rPr>
                <w:bCs/>
              </w:rPr>
              <w:t>paediatrics</w:t>
            </w:r>
            <w:proofErr w:type="spellEnd"/>
          </w:p>
          <w:p w14:paraId="11198CC1" w14:textId="7BECBD62" w:rsidR="005564DE" w:rsidRDefault="005564DE" w:rsidP="00B07ECF">
            <w:pPr>
              <w:pStyle w:val="ListParagraph"/>
              <w:ind w:left="0"/>
              <w:rPr>
                <w:b/>
                <w:bCs/>
              </w:rPr>
            </w:pPr>
            <w:r w:rsidRPr="290496F1">
              <w:rPr>
                <w:b/>
                <w:bCs/>
              </w:rPr>
              <w:t xml:space="preserve">Level of Care: </w:t>
            </w:r>
            <w:r w:rsidR="0005781F" w:rsidRPr="0005781F">
              <w:rPr>
                <w:bCs/>
              </w:rPr>
              <w:t xml:space="preserve">Primary </w:t>
            </w:r>
            <w:r w:rsidR="008F51C0" w:rsidRPr="0005781F">
              <w:rPr>
                <w:bCs/>
              </w:rPr>
              <w:t>Health</w:t>
            </w:r>
            <w:r w:rsidR="008F51C0">
              <w:rPr>
                <w:bCs/>
              </w:rPr>
              <w:t>c</w:t>
            </w:r>
            <w:r w:rsidR="008F51C0" w:rsidRPr="0005781F">
              <w:rPr>
                <w:bCs/>
              </w:rPr>
              <w:t>are</w:t>
            </w:r>
          </w:p>
          <w:p w14:paraId="1C3979B8" w14:textId="1402724B" w:rsidR="005564DE" w:rsidRDefault="005564DE" w:rsidP="00B07ECF">
            <w:pPr>
              <w:pStyle w:val="ListParagraph"/>
              <w:ind w:left="0"/>
              <w:rPr>
                <w:b/>
                <w:bCs/>
              </w:rPr>
            </w:pPr>
            <w:r w:rsidRPr="290496F1">
              <w:rPr>
                <w:b/>
                <w:bCs/>
              </w:rPr>
              <w:t>Prescriber Level:</w:t>
            </w:r>
            <w:r w:rsidR="31A3D588" w:rsidRPr="290496F1">
              <w:rPr>
                <w:b/>
                <w:bCs/>
              </w:rPr>
              <w:t xml:space="preserve"> </w:t>
            </w:r>
            <w:r w:rsidR="0005781F" w:rsidRPr="0005781F">
              <w:rPr>
                <w:bCs/>
              </w:rPr>
              <w:t>Nurse prescriber</w:t>
            </w:r>
            <w:r w:rsidR="31A3D588" w:rsidRPr="290496F1">
              <w:rPr>
                <w:b/>
                <w:bCs/>
              </w:rPr>
              <w:t xml:space="preserve"> </w:t>
            </w:r>
          </w:p>
          <w:p w14:paraId="63FF44C2" w14:textId="14C0C3AA" w:rsidR="005564DE" w:rsidRDefault="005564DE" w:rsidP="00B07ECF">
            <w:pPr>
              <w:pStyle w:val="ListParagraph"/>
              <w:ind w:left="0"/>
              <w:rPr>
                <w:b/>
              </w:rPr>
            </w:pPr>
            <w:r>
              <w:rPr>
                <w:b/>
              </w:rPr>
              <w:t>Current standard of Care:</w:t>
            </w:r>
            <w:r w:rsidR="00FF4F5D">
              <w:rPr>
                <w:b/>
              </w:rPr>
              <w:t xml:space="preserve"> </w:t>
            </w:r>
            <w:r w:rsidR="0005781F">
              <w:t>Povidone iodine 5% cream</w:t>
            </w:r>
          </w:p>
          <w:p w14:paraId="52FDBA2A" w14:textId="421F05CF" w:rsidR="005564DE" w:rsidRDefault="005564DE" w:rsidP="00B07ECF">
            <w:pPr>
              <w:pStyle w:val="ListParagraph"/>
              <w:ind w:left="0"/>
              <w:rPr>
                <w:b/>
                <w:bCs/>
              </w:rPr>
            </w:pPr>
            <w:r w:rsidRPr="290496F1">
              <w:rPr>
                <w:b/>
                <w:bCs/>
              </w:rPr>
              <w:t xml:space="preserve">Efficacy estimates: </w:t>
            </w:r>
            <w:r w:rsidR="0005781F" w:rsidRPr="004E0964">
              <w:t>n/a</w:t>
            </w:r>
          </w:p>
          <w:p w14:paraId="6ADBC87A" w14:textId="48EA0EB1" w:rsidR="005564DE" w:rsidRDefault="005564DE" w:rsidP="00B07ECF">
            <w:pPr>
              <w:pStyle w:val="ListParagraph"/>
              <w:ind w:left="0"/>
              <w:rPr>
                <w:b/>
                <w:bCs/>
              </w:rPr>
            </w:pPr>
            <w:r w:rsidRPr="290496F1">
              <w:rPr>
                <w:b/>
                <w:bCs/>
              </w:rPr>
              <w:t>Motivator/reviewer name(s):</w:t>
            </w:r>
            <w:r w:rsidR="1F6B7143" w:rsidRPr="290496F1">
              <w:rPr>
                <w:b/>
                <w:bCs/>
              </w:rPr>
              <w:t xml:space="preserve"> </w:t>
            </w:r>
            <w:r w:rsidR="0005781F" w:rsidRPr="0005781F">
              <w:rPr>
                <w:bCs/>
              </w:rPr>
              <w:t xml:space="preserve">Dr Michael </w:t>
            </w:r>
            <w:proofErr w:type="spellStart"/>
            <w:r w:rsidR="0005781F" w:rsidRPr="0005781F">
              <w:rPr>
                <w:bCs/>
              </w:rPr>
              <w:t>McCaul</w:t>
            </w:r>
            <w:proofErr w:type="spellEnd"/>
            <w:r w:rsidR="0005781F" w:rsidRPr="0005781F">
              <w:rPr>
                <w:bCs/>
              </w:rPr>
              <w:t>, Dr Clint Hendricks, Dr Gustav Thom</w:t>
            </w:r>
            <w:r w:rsidR="0005781F" w:rsidRPr="0005781F">
              <w:rPr>
                <w:b/>
                <w:bCs/>
              </w:rPr>
              <w:t xml:space="preserve"> </w:t>
            </w:r>
          </w:p>
          <w:p w14:paraId="0CA6EDC1" w14:textId="442A4972" w:rsidR="005564DE" w:rsidRDefault="005564DE" w:rsidP="008F51C0">
            <w:pPr>
              <w:pStyle w:val="ListParagraph"/>
              <w:ind w:left="0"/>
              <w:rPr>
                <w:b/>
              </w:rPr>
            </w:pPr>
            <w:r>
              <w:rPr>
                <w:b/>
              </w:rPr>
              <w:t>PTC affiliation:</w:t>
            </w:r>
            <w:r w:rsidR="0005781F">
              <w:rPr>
                <w:b/>
              </w:rPr>
              <w:t xml:space="preserve"> </w:t>
            </w:r>
            <w:r w:rsidR="008F51C0">
              <w:t>GT – KZN PPTC</w:t>
            </w:r>
          </w:p>
        </w:tc>
      </w:tr>
    </w:tbl>
    <w:p w14:paraId="264CC5E0" w14:textId="77777777" w:rsidR="005564DE" w:rsidRDefault="005564DE" w:rsidP="00B07ECF">
      <w:pPr>
        <w:spacing w:after="0" w:line="240" w:lineRule="auto"/>
        <w:rPr>
          <w:b/>
          <w:u w:val="single"/>
        </w:rPr>
      </w:pPr>
    </w:p>
    <w:p w14:paraId="1483D598" w14:textId="2550632C" w:rsidR="008136E5" w:rsidRPr="00C90128" w:rsidRDefault="00ED3B72" w:rsidP="00B07ECF">
      <w:pPr>
        <w:pStyle w:val="ListParagraph"/>
        <w:numPr>
          <w:ilvl w:val="0"/>
          <w:numId w:val="1"/>
        </w:numPr>
        <w:spacing w:after="0" w:line="240" w:lineRule="auto"/>
        <w:ind w:left="284" w:hanging="284"/>
      </w:pPr>
      <w:r w:rsidRPr="00C90128">
        <w:rPr>
          <w:b/>
        </w:rPr>
        <w:t xml:space="preserve">Name of </w:t>
      </w:r>
      <w:r w:rsidR="00B07ECF">
        <w:rPr>
          <w:b/>
        </w:rPr>
        <w:t>reviewer(s)</w:t>
      </w:r>
      <w:r w:rsidR="00B07ECF" w:rsidRPr="00C90128" w:rsidDel="00B07ECF">
        <w:rPr>
          <w:b/>
        </w:rPr>
        <w:t xml:space="preserve"> </w:t>
      </w:r>
      <w:r w:rsidR="00B07ECF">
        <w:t xml:space="preserve">: </w:t>
      </w:r>
      <w:r w:rsidR="00FF4F5D">
        <w:t xml:space="preserve">Michael </w:t>
      </w:r>
      <w:proofErr w:type="spellStart"/>
      <w:r w:rsidR="00FF4F5D">
        <w:t>McCaul</w:t>
      </w:r>
      <w:proofErr w:type="spellEnd"/>
      <w:r w:rsidR="7F115B51">
        <w:t xml:space="preserve"> (1)</w:t>
      </w:r>
      <w:r w:rsidR="00FF4F5D">
        <w:t>, Clint Hendricks</w:t>
      </w:r>
      <w:r w:rsidR="59FE3102">
        <w:t xml:space="preserve"> (2)</w:t>
      </w:r>
      <w:r w:rsidR="00FF4F5D">
        <w:t>, Gustav Thom</w:t>
      </w:r>
      <w:r w:rsidR="55EE3E28">
        <w:t xml:space="preserve"> (3)</w:t>
      </w:r>
    </w:p>
    <w:p w14:paraId="1690C5D6" w14:textId="73B98E40" w:rsidR="008136E5" w:rsidRPr="00E629E7" w:rsidRDefault="6EEB7175" w:rsidP="00B07ECF">
      <w:pPr>
        <w:pStyle w:val="ListParagraph"/>
        <w:spacing w:after="0" w:line="240" w:lineRule="auto"/>
      </w:pPr>
      <w:r>
        <w:t>1) Division of Epidemiology and Biostatistics, Department of Global Health, Stellenbosch University</w:t>
      </w:r>
      <w:r w:rsidR="00F37773">
        <w:t>. SA GRADE Network</w:t>
      </w:r>
    </w:p>
    <w:p w14:paraId="65504D93" w14:textId="0DBA444E" w:rsidR="6EEB7175" w:rsidRDefault="6EEB7175" w:rsidP="00B07ECF">
      <w:pPr>
        <w:pStyle w:val="ListParagraph"/>
        <w:spacing w:after="0" w:line="240" w:lineRule="auto"/>
      </w:pPr>
      <w:r>
        <w:t xml:space="preserve">2) </w:t>
      </w:r>
      <w:r w:rsidR="3FC148BA">
        <w:t>Division of Emergency Medicine, University of Cape Town. Emergency Physician, Cape Town</w:t>
      </w:r>
    </w:p>
    <w:p w14:paraId="0FAE0E60" w14:textId="5FBC942F" w:rsidR="6EEB7175" w:rsidRDefault="6EEB7175" w:rsidP="00B07ECF">
      <w:pPr>
        <w:pStyle w:val="ListParagraph"/>
        <w:spacing w:after="0" w:line="240" w:lineRule="auto"/>
      </w:pPr>
      <w:r>
        <w:t xml:space="preserve">3) </w:t>
      </w:r>
      <w:r w:rsidR="3B720215">
        <w:t>District Clinical Specialist Team, Amajuba District, KZN</w:t>
      </w:r>
    </w:p>
    <w:p w14:paraId="7A1AEB94" w14:textId="310F5D17" w:rsidR="290496F1" w:rsidRDefault="290496F1" w:rsidP="00B07ECF">
      <w:pPr>
        <w:pStyle w:val="ListParagraph"/>
        <w:spacing w:after="0" w:line="240" w:lineRule="auto"/>
        <w:ind w:left="0"/>
      </w:pPr>
    </w:p>
    <w:p w14:paraId="35731352" w14:textId="2451F780" w:rsidR="008F51C0" w:rsidRDefault="008F51C0" w:rsidP="00B07ECF">
      <w:pPr>
        <w:pStyle w:val="ListParagraph"/>
        <w:spacing w:after="0" w:line="240" w:lineRule="auto"/>
        <w:ind w:left="0"/>
      </w:pPr>
      <w:r>
        <w:t>MM, CH, GT have no interests pertaining to topical preparations for management of burns.</w:t>
      </w:r>
    </w:p>
    <w:p w14:paraId="7790ADE8" w14:textId="77777777" w:rsidR="008F51C0" w:rsidRDefault="008F51C0" w:rsidP="00B07ECF">
      <w:pPr>
        <w:pStyle w:val="ListParagraph"/>
        <w:spacing w:after="0" w:line="240" w:lineRule="auto"/>
        <w:ind w:left="0"/>
      </w:pPr>
    </w:p>
    <w:p w14:paraId="4B02734A" w14:textId="77777777" w:rsidR="00B430E6" w:rsidRDefault="00B430E6" w:rsidP="00B07ECF">
      <w:pPr>
        <w:pStyle w:val="ListParagraph"/>
        <w:numPr>
          <w:ilvl w:val="0"/>
          <w:numId w:val="1"/>
        </w:numPr>
        <w:spacing w:after="0" w:line="240" w:lineRule="auto"/>
        <w:ind w:left="284" w:hanging="284"/>
        <w:rPr>
          <w:b/>
          <w:bCs/>
        </w:rPr>
      </w:pPr>
      <w:r w:rsidRPr="290496F1">
        <w:rPr>
          <w:b/>
          <w:bCs/>
        </w:rPr>
        <w:t>Introduction/ Background</w:t>
      </w:r>
    </w:p>
    <w:p w14:paraId="6E3B1538" w14:textId="38699159" w:rsidR="49FED8A2" w:rsidRPr="00F71D6C" w:rsidRDefault="49FED8A2" w:rsidP="00B07ECF">
      <w:pPr>
        <w:pStyle w:val="ListParagraph"/>
        <w:spacing w:after="0" w:line="240" w:lineRule="auto"/>
        <w:ind w:left="0"/>
      </w:pPr>
      <w:r w:rsidRPr="00F71D6C">
        <w:t xml:space="preserve">A proposal </w:t>
      </w:r>
      <w:proofErr w:type="gramStart"/>
      <w:r w:rsidRPr="00F71D6C">
        <w:t>was made</w:t>
      </w:r>
      <w:proofErr w:type="gramEnd"/>
      <w:r w:rsidRPr="00F71D6C">
        <w:t xml:space="preserve"> to add topical </w:t>
      </w:r>
      <w:proofErr w:type="spellStart"/>
      <w:r w:rsidRPr="00F71D6C">
        <w:t>mucopirocin</w:t>
      </w:r>
      <w:proofErr w:type="spellEnd"/>
      <w:r w:rsidRPr="00F71D6C">
        <w:t xml:space="preserve"> to the </w:t>
      </w:r>
      <w:r w:rsidR="00B07ECF">
        <w:t>Adult Hospital Level</w:t>
      </w:r>
      <w:r w:rsidRPr="00F71D6C">
        <w:t xml:space="preserve"> and PHC STG for the management of </w:t>
      </w:r>
      <w:r w:rsidR="3EB873F6" w:rsidRPr="00F71D6C">
        <w:t xml:space="preserve">septic </w:t>
      </w:r>
      <w:r w:rsidRPr="00F71D6C">
        <w:t>burns</w:t>
      </w:r>
      <w:r w:rsidR="4DE33A82" w:rsidRPr="00F71D6C">
        <w:t>. As t</w:t>
      </w:r>
      <w:r w:rsidR="46A7BC55" w:rsidRPr="00F71D6C">
        <w:t>he issue</w:t>
      </w:r>
      <w:r w:rsidR="4854284D" w:rsidRPr="00F71D6C">
        <w:t xml:space="preserve"> of topical preparations </w:t>
      </w:r>
      <w:r w:rsidR="46A7BC55" w:rsidRPr="00F71D6C">
        <w:t xml:space="preserve">had been </w:t>
      </w:r>
      <w:proofErr w:type="gramStart"/>
      <w:r w:rsidR="46A7BC55" w:rsidRPr="00F71D6C">
        <w:t>investigated</w:t>
      </w:r>
      <w:proofErr w:type="gramEnd"/>
      <w:r w:rsidR="46A7BC55" w:rsidRPr="00F71D6C">
        <w:t xml:space="preserve"> and not added </w:t>
      </w:r>
      <w:r w:rsidR="3AAA6E7D" w:rsidRPr="00F71D6C">
        <w:t>during</w:t>
      </w:r>
      <w:r w:rsidR="46A7BC55" w:rsidRPr="00F71D6C">
        <w:t xml:space="preserve"> the 2017-19 NEMLC review </w:t>
      </w:r>
      <w:r w:rsidR="0B179F99" w:rsidRPr="00F71D6C">
        <w:t xml:space="preserve">cycle </w:t>
      </w:r>
      <w:r w:rsidR="46A7BC55" w:rsidRPr="00F71D6C">
        <w:t xml:space="preserve">it was necessary to ascertain </w:t>
      </w:r>
      <w:r w:rsidR="5B4BAC3F" w:rsidRPr="00F71D6C">
        <w:t>whether</w:t>
      </w:r>
      <w:r w:rsidR="46A7BC55" w:rsidRPr="00F71D6C">
        <w:t xml:space="preserve"> new evidence ha</w:t>
      </w:r>
      <w:r w:rsidR="00B07ECF">
        <w:t>d</w:t>
      </w:r>
      <w:r w:rsidR="46A7BC55" w:rsidRPr="00F71D6C">
        <w:t xml:space="preserve"> </w:t>
      </w:r>
      <w:r w:rsidR="0F6610BE" w:rsidRPr="00F71D6C">
        <w:t>emerged</w:t>
      </w:r>
      <w:r w:rsidR="25A971C5" w:rsidRPr="00F71D6C">
        <w:t xml:space="preserve"> </w:t>
      </w:r>
      <w:r w:rsidR="46A7BC55" w:rsidRPr="00F71D6C">
        <w:t>si</w:t>
      </w:r>
      <w:r w:rsidR="297B6990" w:rsidRPr="00F71D6C">
        <w:t>nce that would necessitate a new review.</w:t>
      </w:r>
    </w:p>
    <w:p w14:paraId="030C63F0" w14:textId="7ABA7F54" w:rsidR="290496F1" w:rsidRDefault="290496F1" w:rsidP="00B07ECF">
      <w:pPr>
        <w:pStyle w:val="ListParagraph"/>
        <w:spacing w:after="0" w:line="240" w:lineRule="auto"/>
        <w:ind w:left="0"/>
        <w:rPr>
          <w:i/>
          <w:iCs/>
          <w:color w:val="1F487C"/>
        </w:rPr>
      </w:pPr>
    </w:p>
    <w:p w14:paraId="1186DAAE" w14:textId="73D66DB0" w:rsidR="00FF4F5D" w:rsidRPr="00B07ECF" w:rsidRDefault="00B430E6" w:rsidP="00B07ECF">
      <w:pPr>
        <w:pStyle w:val="ListParagraph"/>
        <w:numPr>
          <w:ilvl w:val="0"/>
          <w:numId w:val="1"/>
        </w:numPr>
        <w:spacing w:after="0" w:line="240" w:lineRule="auto"/>
        <w:ind w:left="284" w:hanging="284"/>
        <w:rPr>
          <w:b/>
        </w:rPr>
      </w:pPr>
      <w:r w:rsidRPr="290496F1">
        <w:rPr>
          <w:b/>
          <w:bCs/>
        </w:rPr>
        <w:t>Purpose/Objective</w:t>
      </w:r>
      <w:r w:rsidR="00B07ECF">
        <w:rPr>
          <w:b/>
          <w:bCs/>
        </w:rPr>
        <w:t xml:space="preserve">: </w:t>
      </w:r>
    </w:p>
    <w:p w14:paraId="207B8CBB" w14:textId="07CE9596" w:rsidR="00FF4F5D" w:rsidRDefault="00FF4F5D" w:rsidP="00B07ECF">
      <w:pPr>
        <w:spacing w:after="0" w:line="240" w:lineRule="auto"/>
        <w:rPr>
          <w:bCs/>
        </w:rPr>
      </w:pPr>
      <w:r>
        <w:rPr>
          <w:bCs/>
        </w:rPr>
        <w:t xml:space="preserve">To determine if new evidence has emerged </w:t>
      </w:r>
      <w:r w:rsidR="00FC0F1D">
        <w:rPr>
          <w:bCs/>
        </w:rPr>
        <w:t>since the 2018 (PHC, 21.3.2) and 2019 (Adult, 20.15) EML for dressings for burn care, specifically:</w:t>
      </w:r>
    </w:p>
    <w:p w14:paraId="1B4D5C9C" w14:textId="64A79308" w:rsidR="00FC0F1D" w:rsidRDefault="00FC0F1D" w:rsidP="00B07ECF">
      <w:pPr>
        <w:pStyle w:val="ListParagraph"/>
        <w:numPr>
          <w:ilvl w:val="0"/>
          <w:numId w:val="3"/>
        </w:numPr>
        <w:spacing w:after="0" w:line="240" w:lineRule="auto"/>
        <w:rPr>
          <w:bCs/>
        </w:rPr>
      </w:pPr>
      <w:r w:rsidRPr="00FC0F1D">
        <w:rPr>
          <w:bCs/>
        </w:rPr>
        <w:t>Povidone iodine</w:t>
      </w:r>
    </w:p>
    <w:p w14:paraId="0BC07ADE" w14:textId="5B17D0D7" w:rsidR="00FC0F1D" w:rsidRDefault="00FC0F1D" w:rsidP="00B07ECF">
      <w:pPr>
        <w:pStyle w:val="ListParagraph"/>
        <w:numPr>
          <w:ilvl w:val="0"/>
          <w:numId w:val="3"/>
        </w:numPr>
        <w:spacing w:after="0" w:line="240" w:lineRule="auto"/>
        <w:rPr>
          <w:bCs/>
        </w:rPr>
      </w:pPr>
      <w:r w:rsidRPr="00FC0F1D">
        <w:rPr>
          <w:bCs/>
        </w:rPr>
        <w:t>Silver sulfadiazine</w:t>
      </w:r>
    </w:p>
    <w:p w14:paraId="3BB39E93" w14:textId="44A5695A" w:rsidR="00FC0F1D" w:rsidRDefault="00FC0F1D" w:rsidP="00B07ECF">
      <w:pPr>
        <w:pStyle w:val="ListParagraph"/>
        <w:numPr>
          <w:ilvl w:val="0"/>
          <w:numId w:val="3"/>
        </w:numPr>
        <w:spacing w:after="0" w:line="240" w:lineRule="auto"/>
        <w:rPr>
          <w:bCs/>
        </w:rPr>
      </w:pPr>
      <w:proofErr w:type="spellStart"/>
      <w:r w:rsidRPr="00FC0F1D">
        <w:rPr>
          <w:bCs/>
        </w:rPr>
        <w:t>Mupirocin</w:t>
      </w:r>
      <w:proofErr w:type="spellEnd"/>
    </w:p>
    <w:p w14:paraId="18C787FA" w14:textId="5E4EFF61" w:rsidR="00FC0F1D" w:rsidRDefault="00FC0F1D" w:rsidP="00B07ECF">
      <w:pPr>
        <w:pStyle w:val="ListParagraph"/>
        <w:numPr>
          <w:ilvl w:val="0"/>
          <w:numId w:val="3"/>
        </w:numPr>
        <w:spacing w:after="0" w:line="240" w:lineRule="auto"/>
        <w:rPr>
          <w:bCs/>
        </w:rPr>
      </w:pPr>
      <w:r w:rsidRPr="00FC0F1D">
        <w:rPr>
          <w:bCs/>
        </w:rPr>
        <w:t>Nano‐crystalline dressings</w:t>
      </w:r>
    </w:p>
    <w:p w14:paraId="17A80841" w14:textId="4D97E908" w:rsidR="00FC0F1D" w:rsidRPr="00FC0F1D" w:rsidRDefault="00FC0F1D" w:rsidP="00B07ECF">
      <w:pPr>
        <w:pStyle w:val="ListParagraph"/>
        <w:numPr>
          <w:ilvl w:val="0"/>
          <w:numId w:val="3"/>
        </w:numPr>
        <w:spacing w:after="0" w:line="240" w:lineRule="auto"/>
        <w:rPr>
          <w:bCs/>
        </w:rPr>
      </w:pPr>
      <w:r w:rsidRPr="00FC0F1D">
        <w:rPr>
          <w:bCs/>
        </w:rPr>
        <w:t xml:space="preserve">Melaleuca </w:t>
      </w:r>
      <w:proofErr w:type="spellStart"/>
      <w:r w:rsidRPr="00FC0F1D">
        <w:rPr>
          <w:bCs/>
        </w:rPr>
        <w:t>alternifolia</w:t>
      </w:r>
      <w:proofErr w:type="spellEnd"/>
    </w:p>
    <w:p w14:paraId="337DA37E" w14:textId="77777777" w:rsidR="00FF4F5D" w:rsidRPr="00FF4F5D" w:rsidRDefault="00FF4F5D" w:rsidP="00B07ECF">
      <w:pPr>
        <w:spacing w:after="0" w:line="240" w:lineRule="auto"/>
        <w:ind w:left="270"/>
        <w:rPr>
          <w:b/>
        </w:rPr>
      </w:pPr>
    </w:p>
    <w:p w14:paraId="572C2CF6" w14:textId="62EF5854" w:rsidR="00B430E6" w:rsidRDefault="00B430E6" w:rsidP="0005781F">
      <w:pPr>
        <w:pStyle w:val="ListParagraph"/>
        <w:numPr>
          <w:ilvl w:val="0"/>
          <w:numId w:val="1"/>
        </w:numPr>
        <w:spacing w:after="0" w:line="240" w:lineRule="auto"/>
        <w:rPr>
          <w:b/>
          <w:bCs/>
        </w:rPr>
      </w:pPr>
      <w:r w:rsidRPr="290496F1">
        <w:rPr>
          <w:b/>
          <w:bCs/>
        </w:rPr>
        <w:t>Methods:</w:t>
      </w:r>
    </w:p>
    <w:p w14:paraId="7916282B" w14:textId="1B0C8410" w:rsidR="00A61AD9" w:rsidRDefault="00A61AD9" w:rsidP="0005781F">
      <w:pPr>
        <w:spacing w:after="0" w:line="240" w:lineRule="auto"/>
      </w:pPr>
      <w:r>
        <w:t xml:space="preserve">We conducted a rapid scoping review of the literature to determine whether there is any new evidence to trigger a formal review of burn dressings for adult and PHC level. </w:t>
      </w:r>
    </w:p>
    <w:p w14:paraId="4A3319CD" w14:textId="77777777" w:rsidR="00A61AD9" w:rsidRPr="00A61AD9" w:rsidRDefault="00A61AD9" w:rsidP="0005781F">
      <w:pPr>
        <w:spacing w:after="0" w:line="240" w:lineRule="auto"/>
      </w:pPr>
    </w:p>
    <w:p w14:paraId="54C5C9D5" w14:textId="124B0444" w:rsidR="008136E5" w:rsidRPr="00F71D6C" w:rsidRDefault="00B430E6" w:rsidP="0005781F">
      <w:pPr>
        <w:pStyle w:val="ListParagraph"/>
        <w:numPr>
          <w:ilvl w:val="1"/>
          <w:numId w:val="1"/>
        </w:numPr>
        <w:spacing w:after="0" w:line="240" w:lineRule="auto"/>
        <w:rPr>
          <w:b/>
          <w:bCs/>
        </w:rPr>
      </w:pPr>
      <w:r w:rsidRPr="00F71D6C">
        <w:rPr>
          <w:b/>
          <w:bCs/>
        </w:rPr>
        <w:t xml:space="preserve">Data </w:t>
      </w:r>
      <w:proofErr w:type="gramStart"/>
      <w:r w:rsidRPr="00F71D6C">
        <w:rPr>
          <w:b/>
          <w:bCs/>
        </w:rPr>
        <w:t>sources</w:t>
      </w:r>
      <w:r w:rsidR="00C90128" w:rsidRPr="00F71D6C">
        <w:rPr>
          <w:b/>
          <w:bCs/>
        </w:rPr>
        <w:t xml:space="preserve"> </w:t>
      </w:r>
      <w:r w:rsidR="006E52E0" w:rsidRPr="00F71D6C">
        <w:t>:</w:t>
      </w:r>
      <w:proofErr w:type="gramEnd"/>
      <w:r w:rsidR="006E52E0" w:rsidRPr="00F71D6C">
        <w:t xml:space="preserve"> Searched </w:t>
      </w:r>
      <w:hyperlink r:id="rId16">
        <w:r w:rsidR="006E52E0" w:rsidRPr="00F71D6C">
          <w:rPr>
            <w:rStyle w:val="Hyperlink"/>
            <w:color w:val="auto"/>
          </w:rPr>
          <w:t>https://www.epistemonikos.org/</w:t>
        </w:r>
      </w:hyperlink>
      <w:r w:rsidR="006E52E0" w:rsidRPr="00F71D6C">
        <w:t xml:space="preserve"> for updated or new systematic review of effect on 13 October 2021. Search terms included all intervention terms (</w:t>
      </w:r>
      <w:proofErr w:type="gramStart"/>
      <w:r w:rsidR="006E52E0" w:rsidRPr="00F71D6C">
        <w:t>as above</w:t>
      </w:r>
      <w:r w:rsidR="00596E6C" w:rsidRPr="00F71D6C">
        <w:t>, including</w:t>
      </w:r>
      <w:proofErr w:type="gramEnd"/>
      <w:r w:rsidR="00596E6C" w:rsidRPr="00F71D6C">
        <w:t xml:space="preserve"> dressings</w:t>
      </w:r>
      <w:r w:rsidR="006E52E0" w:rsidRPr="00F71D6C">
        <w:t>) and terms linked to the population (i.e. burns)</w:t>
      </w:r>
      <w:r w:rsidR="00596E6C" w:rsidRPr="00F71D6C">
        <w:t xml:space="preserve">. </w:t>
      </w:r>
    </w:p>
    <w:p w14:paraId="214D151A" w14:textId="77777777" w:rsidR="00F71D6C" w:rsidRPr="00F71D6C" w:rsidRDefault="00F71D6C" w:rsidP="0005781F">
      <w:pPr>
        <w:pStyle w:val="ListParagraph"/>
        <w:spacing w:after="0" w:line="240" w:lineRule="auto"/>
        <w:ind w:left="1080"/>
        <w:rPr>
          <w:b/>
          <w:bCs/>
        </w:rPr>
      </w:pPr>
    </w:p>
    <w:p w14:paraId="4D5CF9D4" w14:textId="6C8FE6A1" w:rsidR="00596E6C" w:rsidRPr="00286148" w:rsidRDefault="00B430E6" w:rsidP="0005781F">
      <w:pPr>
        <w:pStyle w:val="ListParagraph"/>
        <w:numPr>
          <w:ilvl w:val="1"/>
          <w:numId w:val="1"/>
        </w:numPr>
        <w:spacing w:after="0" w:line="240" w:lineRule="auto"/>
        <w:rPr>
          <w:b/>
          <w:bCs/>
          <w:color w:val="4F81BD" w:themeColor="accent1"/>
        </w:rPr>
      </w:pPr>
      <w:r w:rsidRPr="290496F1">
        <w:rPr>
          <w:b/>
          <w:bCs/>
        </w:rPr>
        <w:t xml:space="preserve">Search </w:t>
      </w:r>
      <w:proofErr w:type="gramStart"/>
      <w:r w:rsidRPr="290496F1">
        <w:rPr>
          <w:b/>
          <w:bCs/>
        </w:rPr>
        <w:t>strategy</w:t>
      </w:r>
      <w:r w:rsidR="008136E5" w:rsidRPr="290496F1">
        <w:rPr>
          <w:b/>
          <w:bCs/>
        </w:rPr>
        <w:t xml:space="preserve"> </w:t>
      </w:r>
      <w:r w:rsidR="00596E6C" w:rsidRPr="290496F1">
        <w:rPr>
          <w:b/>
          <w:bCs/>
        </w:rPr>
        <w:t>:</w:t>
      </w:r>
      <w:proofErr w:type="gramEnd"/>
      <w:r w:rsidR="00596E6C" w:rsidRPr="290496F1">
        <w:rPr>
          <w:b/>
          <w:bCs/>
        </w:rPr>
        <w:t xml:space="preserve"> </w:t>
      </w:r>
      <w:r w:rsidR="000A1EDB">
        <w:t>Title and abstract, and full text s</w:t>
      </w:r>
      <w:r w:rsidR="00596E6C">
        <w:t>creening was done individually by MM, with a 2</w:t>
      </w:r>
      <w:r w:rsidR="00596E6C" w:rsidRPr="290496F1">
        <w:rPr>
          <w:vertAlign w:val="superscript"/>
        </w:rPr>
        <w:t>nd</w:t>
      </w:r>
      <w:r w:rsidR="00596E6C">
        <w:t xml:space="preserve"> reviewer checking excluded studies </w:t>
      </w:r>
      <w:r w:rsidR="000A1EDB">
        <w:t xml:space="preserve">(GT). Search strategy in Appendix 1. We used the search filers for systematic reviews and then for trials. We only included evidence </w:t>
      </w:r>
      <w:r w:rsidR="5BAD984D">
        <w:t xml:space="preserve">(systematic reviews or RCTs) </w:t>
      </w:r>
      <w:r w:rsidR="000A1EDB">
        <w:t>from 2018 onwards</w:t>
      </w:r>
      <w:r w:rsidR="00286148">
        <w:t xml:space="preserve"> and checked CENTRAL for updated systematic reviews that originally supported the 2018 and 2019 </w:t>
      </w:r>
      <w:r w:rsidR="3B000AE6">
        <w:t xml:space="preserve">Adult and PHC </w:t>
      </w:r>
      <w:r w:rsidR="00286148">
        <w:t xml:space="preserve">reviews. </w:t>
      </w:r>
    </w:p>
    <w:p w14:paraId="14520896" w14:textId="2A200FC0" w:rsidR="00286148" w:rsidRDefault="00286148" w:rsidP="0005781F">
      <w:pPr>
        <w:pStyle w:val="ListParagraph"/>
        <w:spacing w:after="0" w:line="240" w:lineRule="auto"/>
        <w:ind w:left="1080"/>
        <w:rPr>
          <w:b/>
          <w:bCs/>
        </w:rPr>
      </w:pPr>
    </w:p>
    <w:p w14:paraId="24FB08CA" w14:textId="0F205773" w:rsidR="00F71D6C" w:rsidRDefault="690F76CF" w:rsidP="008F51C0">
      <w:pPr>
        <w:pStyle w:val="ListParagraph"/>
        <w:numPr>
          <w:ilvl w:val="1"/>
          <w:numId w:val="1"/>
        </w:numPr>
        <w:spacing w:after="0" w:line="240" w:lineRule="auto"/>
        <w:rPr>
          <w:b/>
          <w:color w:val="4F81BD" w:themeColor="accent1"/>
        </w:rPr>
      </w:pPr>
      <w:r w:rsidRPr="290496F1">
        <w:rPr>
          <w:b/>
          <w:bCs/>
        </w:rPr>
        <w:t>Search Yield:</w:t>
      </w:r>
      <w:r w:rsidR="5873308E" w:rsidRPr="290496F1">
        <w:rPr>
          <w:b/>
          <w:bCs/>
        </w:rPr>
        <w:t xml:space="preserve"> </w:t>
      </w:r>
      <w:r w:rsidR="566C81B6">
        <w:t xml:space="preserve">We screened 74 articles, of which </w:t>
      </w:r>
      <w:r w:rsidR="58BA65B9">
        <w:t>10</w:t>
      </w:r>
      <w:r w:rsidR="566C81B6">
        <w:t xml:space="preserve"> were included in full text screening</w:t>
      </w:r>
      <w:r w:rsidR="49046DAA">
        <w:t>.</w:t>
      </w:r>
      <w:r w:rsidR="7C705DCD">
        <w:t xml:space="preserve"> </w:t>
      </w:r>
      <w:r w:rsidR="79A4F017">
        <w:t>S</w:t>
      </w:r>
      <w:r w:rsidR="3ACA5700">
        <w:t xml:space="preserve">even </w:t>
      </w:r>
      <w:r w:rsidR="7C705DCD">
        <w:t>SRs were included in th</w:t>
      </w:r>
      <w:r w:rsidR="3035F76E">
        <w:t xml:space="preserve">e </w:t>
      </w:r>
      <w:r w:rsidR="4C8DA5C5">
        <w:t>narrative summary</w:t>
      </w:r>
      <w:r w:rsidR="7C705DCD">
        <w:t xml:space="preserve">. </w:t>
      </w:r>
      <w:r w:rsidR="54D41074">
        <w:t xml:space="preserve"> </w:t>
      </w:r>
      <w:r w:rsidR="00F71D6C">
        <w:rPr>
          <w:b/>
          <w:color w:val="4F81BD" w:themeColor="accent1"/>
        </w:rPr>
        <w:br w:type="page"/>
      </w:r>
    </w:p>
    <w:p w14:paraId="334A2AB0" w14:textId="77777777" w:rsidR="00F71D6C" w:rsidRPr="00596E6C" w:rsidRDefault="00F71D6C" w:rsidP="00B07ECF">
      <w:pPr>
        <w:pStyle w:val="ListParagraph"/>
        <w:spacing w:after="0" w:line="240" w:lineRule="auto"/>
        <w:ind w:left="630"/>
        <w:rPr>
          <w:b/>
          <w:color w:val="4F81BD" w:themeColor="accent1"/>
        </w:rPr>
      </w:pPr>
    </w:p>
    <w:p w14:paraId="2EF84D78" w14:textId="251F9096" w:rsidR="00B430E6" w:rsidRPr="005C58C1" w:rsidRDefault="00C90128" w:rsidP="00B07ECF">
      <w:pPr>
        <w:pStyle w:val="ListParagraph"/>
        <w:numPr>
          <w:ilvl w:val="1"/>
          <w:numId w:val="1"/>
        </w:numPr>
        <w:spacing w:after="0" w:line="240" w:lineRule="auto"/>
        <w:rPr>
          <w:b/>
          <w:bCs/>
        </w:rPr>
      </w:pPr>
      <w:r w:rsidRPr="290496F1">
        <w:rPr>
          <w:b/>
          <w:bCs/>
        </w:rPr>
        <w:t xml:space="preserve">Excluded </w:t>
      </w:r>
      <w:r w:rsidR="00B430E6" w:rsidRPr="290496F1">
        <w:rPr>
          <w:b/>
          <w:bCs/>
        </w:rPr>
        <w:t>studies</w:t>
      </w:r>
      <w:r w:rsidR="008136E5" w:rsidRPr="290496F1">
        <w:rPr>
          <w:b/>
          <w:bCs/>
        </w:rPr>
        <w:t xml:space="preserve">: </w:t>
      </w:r>
    </w:p>
    <w:tbl>
      <w:tblPr>
        <w:tblStyle w:val="TableGrid"/>
        <w:tblW w:w="9081" w:type="dxa"/>
        <w:tblInd w:w="1080" w:type="dxa"/>
        <w:tblLook w:val="04A0" w:firstRow="1" w:lastRow="0" w:firstColumn="1" w:lastColumn="0" w:noHBand="0" w:noVBand="1"/>
      </w:tblPr>
      <w:tblGrid>
        <w:gridCol w:w="2085"/>
        <w:gridCol w:w="1161"/>
        <w:gridCol w:w="5835"/>
      </w:tblGrid>
      <w:tr w:rsidR="005C58C1" w:rsidRPr="005C58C1" w14:paraId="1DC04712" w14:textId="77777777" w:rsidTr="290496F1">
        <w:tc>
          <w:tcPr>
            <w:tcW w:w="2085" w:type="dxa"/>
          </w:tcPr>
          <w:p w14:paraId="06C0C0E0" w14:textId="77777777" w:rsidR="005C58C1" w:rsidRPr="005C58C1" w:rsidRDefault="005C58C1" w:rsidP="00B07ECF">
            <w:pPr>
              <w:pStyle w:val="ListParagraph"/>
              <w:ind w:left="0"/>
              <w:rPr>
                <w:b/>
                <w:i/>
              </w:rPr>
            </w:pPr>
            <w:r w:rsidRPr="005C58C1">
              <w:rPr>
                <w:b/>
                <w:i/>
              </w:rPr>
              <w:t>Author, date</w:t>
            </w:r>
          </w:p>
        </w:tc>
        <w:tc>
          <w:tcPr>
            <w:tcW w:w="1161" w:type="dxa"/>
          </w:tcPr>
          <w:p w14:paraId="2BB40168" w14:textId="77777777" w:rsidR="005C58C1" w:rsidRPr="00F37773" w:rsidRDefault="005C58C1" w:rsidP="00B07ECF">
            <w:pPr>
              <w:pStyle w:val="ListParagraph"/>
              <w:ind w:left="0"/>
              <w:rPr>
                <w:b/>
                <w:iCs/>
              </w:rPr>
            </w:pPr>
            <w:r w:rsidRPr="00F37773">
              <w:rPr>
                <w:b/>
                <w:iCs/>
              </w:rPr>
              <w:t>Type of study</w:t>
            </w:r>
          </w:p>
        </w:tc>
        <w:tc>
          <w:tcPr>
            <w:tcW w:w="5835" w:type="dxa"/>
          </w:tcPr>
          <w:p w14:paraId="33A6B6D1" w14:textId="77777777" w:rsidR="005C58C1" w:rsidRPr="00F37773" w:rsidRDefault="005C58C1" w:rsidP="00B07ECF">
            <w:pPr>
              <w:pStyle w:val="ListParagraph"/>
              <w:ind w:left="0"/>
              <w:rPr>
                <w:b/>
                <w:iCs/>
              </w:rPr>
            </w:pPr>
            <w:r w:rsidRPr="00F37773">
              <w:rPr>
                <w:b/>
                <w:iCs/>
              </w:rPr>
              <w:t>Reason for exclusion</w:t>
            </w:r>
          </w:p>
        </w:tc>
      </w:tr>
      <w:tr w:rsidR="005C58C1" w:rsidRPr="005C58C1" w14:paraId="53E2FA4D" w14:textId="77777777" w:rsidTr="290496F1">
        <w:tc>
          <w:tcPr>
            <w:tcW w:w="2085" w:type="dxa"/>
          </w:tcPr>
          <w:p w14:paraId="74733A87" w14:textId="3E052948" w:rsidR="005C58C1" w:rsidRPr="005C58C1" w:rsidRDefault="00641826" w:rsidP="00B07ECF">
            <w:pPr>
              <w:pStyle w:val="ListParagraph"/>
              <w:ind w:left="0"/>
              <w:rPr>
                <w:b/>
                <w:bCs/>
                <w:i/>
                <w:iCs/>
              </w:rPr>
            </w:pPr>
            <w:hyperlink r:id="rId17">
              <w:proofErr w:type="spellStart"/>
              <w:r w:rsidR="15D9E4FC" w:rsidRPr="4FA48796">
                <w:rPr>
                  <w:rStyle w:val="Hyperlink"/>
                  <w:b/>
                  <w:bCs/>
                  <w:i/>
                  <w:iCs/>
                </w:rPr>
                <w:t>Rahimi</w:t>
              </w:r>
              <w:proofErr w:type="spellEnd"/>
              <w:r w:rsidR="15D9E4FC" w:rsidRPr="4FA48796">
                <w:rPr>
                  <w:rStyle w:val="Hyperlink"/>
                  <w:b/>
                  <w:bCs/>
                  <w:i/>
                  <w:iCs/>
                </w:rPr>
                <w:t xml:space="preserve"> 2021</w:t>
              </w:r>
            </w:hyperlink>
          </w:p>
        </w:tc>
        <w:tc>
          <w:tcPr>
            <w:tcW w:w="1161" w:type="dxa"/>
          </w:tcPr>
          <w:p w14:paraId="039947B4" w14:textId="69595E6B" w:rsidR="005C58C1" w:rsidRPr="00F37773" w:rsidRDefault="27814AD6" w:rsidP="00B07ECF">
            <w:pPr>
              <w:pStyle w:val="ListParagraph"/>
              <w:ind w:left="0"/>
              <w:rPr>
                <w:iCs/>
              </w:rPr>
            </w:pPr>
            <w:r w:rsidRPr="00F37773">
              <w:rPr>
                <w:iCs/>
              </w:rPr>
              <w:t>SR</w:t>
            </w:r>
          </w:p>
        </w:tc>
        <w:tc>
          <w:tcPr>
            <w:tcW w:w="5835" w:type="dxa"/>
          </w:tcPr>
          <w:p w14:paraId="2A608535" w14:textId="7D71C214" w:rsidR="005C58C1" w:rsidRPr="00F37773" w:rsidRDefault="27814AD6" w:rsidP="00B07ECF">
            <w:pPr>
              <w:pStyle w:val="ListParagraph"/>
              <w:ind w:left="0"/>
              <w:rPr>
                <w:iCs/>
              </w:rPr>
            </w:pPr>
            <w:r w:rsidRPr="00F37773">
              <w:rPr>
                <w:iCs/>
              </w:rPr>
              <w:t>Biosynthetic Dressings not relevant</w:t>
            </w:r>
          </w:p>
        </w:tc>
      </w:tr>
      <w:tr w:rsidR="4FA48796" w14:paraId="23E20BB8" w14:textId="77777777" w:rsidTr="290496F1">
        <w:tc>
          <w:tcPr>
            <w:tcW w:w="2085" w:type="dxa"/>
          </w:tcPr>
          <w:p w14:paraId="073DEE73" w14:textId="5B07072E" w:rsidR="5502FC4F" w:rsidRDefault="00641826" w:rsidP="00B07ECF">
            <w:pPr>
              <w:pStyle w:val="ListParagraph"/>
              <w:ind w:left="0"/>
              <w:rPr>
                <w:b/>
                <w:bCs/>
                <w:i/>
                <w:iCs/>
              </w:rPr>
            </w:pPr>
            <w:hyperlink r:id="rId18">
              <w:r w:rsidR="5502FC4F" w:rsidRPr="4FA48796">
                <w:rPr>
                  <w:rStyle w:val="Hyperlink"/>
                  <w:b/>
                  <w:bCs/>
                  <w:i/>
                  <w:iCs/>
                </w:rPr>
                <w:t>Li, 2020</w:t>
              </w:r>
            </w:hyperlink>
          </w:p>
        </w:tc>
        <w:tc>
          <w:tcPr>
            <w:tcW w:w="1161" w:type="dxa"/>
          </w:tcPr>
          <w:p w14:paraId="62B0D7D5" w14:textId="6565A8B8" w:rsidR="5502FC4F" w:rsidRPr="00F37773" w:rsidRDefault="5502FC4F" w:rsidP="00B07ECF">
            <w:pPr>
              <w:pStyle w:val="ListParagraph"/>
              <w:ind w:left="0"/>
              <w:rPr>
                <w:iCs/>
              </w:rPr>
            </w:pPr>
            <w:r w:rsidRPr="00F37773">
              <w:rPr>
                <w:iCs/>
              </w:rPr>
              <w:t>SR</w:t>
            </w:r>
          </w:p>
        </w:tc>
        <w:tc>
          <w:tcPr>
            <w:tcW w:w="5835" w:type="dxa"/>
          </w:tcPr>
          <w:p w14:paraId="4A791259" w14:textId="5E8F3E85" w:rsidR="5502FC4F" w:rsidRPr="00F37773" w:rsidRDefault="5502FC4F" w:rsidP="00B07ECF">
            <w:pPr>
              <w:pStyle w:val="ListParagraph"/>
              <w:ind w:left="0"/>
              <w:rPr>
                <w:iCs/>
              </w:rPr>
            </w:pPr>
            <w:r w:rsidRPr="00F37773">
              <w:rPr>
                <w:iCs/>
              </w:rPr>
              <w:t>Nano-silver dressing combined with recombinant human epidermal growth factor. Not relevant.</w:t>
            </w:r>
          </w:p>
        </w:tc>
      </w:tr>
      <w:tr w:rsidR="39B50BAB" w14:paraId="1EAB3AB4" w14:textId="77777777" w:rsidTr="290496F1">
        <w:tc>
          <w:tcPr>
            <w:tcW w:w="2085" w:type="dxa"/>
          </w:tcPr>
          <w:p w14:paraId="68C3291A" w14:textId="5A9BDE93" w:rsidR="279CD25E" w:rsidRDefault="00641826" w:rsidP="00B07ECF">
            <w:pPr>
              <w:pStyle w:val="ListParagraph"/>
              <w:ind w:left="0"/>
              <w:rPr>
                <w:b/>
                <w:bCs/>
                <w:i/>
                <w:iCs/>
              </w:rPr>
            </w:pPr>
            <w:hyperlink r:id="rId19">
              <w:proofErr w:type="spellStart"/>
              <w:r w:rsidR="0FF780BA" w:rsidRPr="4FA48796">
                <w:rPr>
                  <w:rStyle w:val="Hyperlink"/>
                  <w:b/>
                  <w:bCs/>
                  <w:i/>
                  <w:iCs/>
                </w:rPr>
                <w:t>Harshman</w:t>
              </w:r>
              <w:proofErr w:type="spellEnd"/>
              <w:r w:rsidR="4E9C65EB" w:rsidRPr="4FA48796">
                <w:rPr>
                  <w:rStyle w:val="Hyperlink"/>
                  <w:b/>
                  <w:bCs/>
                  <w:i/>
                  <w:iCs/>
                </w:rPr>
                <w:t>, 2019</w:t>
              </w:r>
            </w:hyperlink>
          </w:p>
        </w:tc>
        <w:tc>
          <w:tcPr>
            <w:tcW w:w="1161" w:type="dxa"/>
          </w:tcPr>
          <w:p w14:paraId="1ACB8534" w14:textId="1909EC2C" w:rsidR="279CD25E" w:rsidRPr="00F37773" w:rsidRDefault="0FF780BA" w:rsidP="00B07ECF">
            <w:pPr>
              <w:pStyle w:val="ListParagraph"/>
              <w:ind w:left="0"/>
              <w:rPr>
                <w:iCs/>
              </w:rPr>
            </w:pPr>
            <w:r w:rsidRPr="00F37773">
              <w:rPr>
                <w:iCs/>
              </w:rPr>
              <w:t>SR</w:t>
            </w:r>
          </w:p>
        </w:tc>
        <w:tc>
          <w:tcPr>
            <w:tcW w:w="5835" w:type="dxa"/>
          </w:tcPr>
          <w:p w14:paraId="132D34F0" w14:textId="34BDCFE4" w:rsidR="279CD25E" w:rsidRPr="00F37773" w:rsidRDefault="0FF780BA" w:rsidP="00B07ECF">
            <w:pPr>
              <w:pStyle w:val="ListParagraph"/>
              <w:ind w:left="0"/>
              <w:rPr>
                <w:iCs/>
              </w:rPr>
            </w:pPr>
            <w:r w:rsidRPr="00F37773">
              <w:rPr>
                <w:iCs/>
              </w:rPr>
              <w:t>Acute Emergency care</w:t>
            </w:r>
            <w:r w:rsidR="2B317289" w:rsidRPr="00F37773">
              <w:rPr>
                <w:iCs/>
              </w:rPr>
              <w:t xml:space="preserve"> (pre-burn </w:t>
            </w:r>
            <w:r w:rsidR="321C3B0F" w:rsidRPr="00F37773">
              <w:rPr>
                <w:iCs/>
              </w:rPr>
              <w:t>center</w:t>
            </w:r>
            <w:r w:rsidR="2B317289" w:rsidRPr="00F37773">
              <w:rPr>
                <w:iCs/>
              </w:rPr>
              <w:t>)</w:t>
            </w:r>
          </w:p>
        </w:tc>
      </w:tr>
      <w:tr w:rsidR="4FA48796" w14:paraId="57007C57" w14:textId="77777777" w:rsidTr="290496F1">
        <w:tc>
          <w:tcPr>
            <w:tcW w:w="2085" w:type="dxa"/>
          </w:tcPr>
          <w:p w14:paraId="29BA009B" w14:textId="3EC481F1" w:rsidR="78DCB85B" w:rsidRDefault="00641826" w:rsidP="00B07ECF">
            <w:pPr>
              <w:pStyle w:val="ListParagraph"/>
              <w:ind w:left="0"/>
              <w:rPr>
                <w:b/>
                <w:bCs/>
                <w:i/>
                <w:iCs/>
              </w:rPr>
            </w:pPr>
            <w:hyperlink r:id="rId20">
              <w:proofErr w:type="spellStart"/>
              <w:r w:rsidR="78DCB85B" w:rsidRPr="4FA48796">
                <w:rPr>
                  <w:rStyle w:val="Hyperlink"/>
                  <w:b/>
                  <w:bCs/>
                  <w:i/>
                  <w:iCs/>
                </w:rPr>
                <w:t>Wormald</w:t>
              </w:r>
              <w:proofErr w:type="spellEnd"/>
              <w:r w:rsidR="78DCB85B" w:rsidRPr="4FA48796">
                <w:rPr>
                  <w:rStyle w:val="Hyperlink"/>
                  <w:b/>
                  <w:bCs/>
                  <w:i/>
                  <w:iCs/>
                </w:rPr>
                <w:t>, 2020</w:t>
              </w:r>
            </w:hyperlink>
          </w:p>
        </w:tc>
        <w:tc>
          <w:tcPr>
            <w:tcW w:w="1161" w:type="dxa"/>
          </w:tcPr>
          <w:p w14:paraId="23544FAE" w14:textId="089D5408" w:rsidR="78DCB85B" w:rsidRPr="00F37773" w:rsidRDefault="78DCB85B" w:rsidP="00B07ECF">
            <w:pPr>
              <w:pStyle w:val="ListParagraph"/>
              <w:ind w:left="0"/>
              <w:rPr>
                <w:iCs/>
              </w:rPr>
            </w:pPr>
            <w:r w:rsidRPr="00F37773">
              <w:rPr>
                <w:iCs/>
              </w:rPr>
              <w:t>SR</w:t>
            </w:r>
          </w:p>
        </w:tc>
        <w:tc>
          <w:tcPr>
            <w:tcW w:w="5835" w:type="dxa"/>
          </w:tcPr>
          <w:p w14:paraId="6A893C71" w14:textId="2E4B69A8" w:rsidR="78DCB85B" w:rsidRPr="00F37773" w:rsidRDefault="78DCB85B" w:rsidP="00B07ECF">
            <w:pPr>
              <w:pStyle w:val="ListParagraph"/>
              <w:ind w:left="0"/>
              <w:rPr>
                <w:iCs/>
              </w:rPr>
            </w:pPr>
            <w:proofErr w:type="spellStart"/>
            <w:r w:rsidRPr="00F37773">
              <w:rPr>
                <w:iCs/>
              </w:rPr>
              <w:t>Hydrosurgical</w:t>
            </w:r>
            <w:proofErr w:type="spellEnd"/>
            <w:r w:rsidRPr="00F37773">
              <w:rPr>
                <w:iCs/>
              </w:rPr>
              <w:t xml:space="preserve"> debridement. Not relevant</w:t>
            </w:r>
          </w:p>
        </w:tc>
      </w:tr>
    </w:tbl>
    <w:p w14:paraId="55BA51E9" w14:textId="4D777A8C" w:rsidR="290496F1" w:rsidRDefault="290496F1" w:rsidP="00B07ECF">
      <w:pPr>
        <w:spacing w:after="0" w:line="240" w:lineRule="auto"/>
        <w:ind w:left="360"/>
        <w:rPr>
          <w:b/>
          <w:bCs/>
        </w:rPr>
      </w:pPr>
    </w:p>
    <w:p w14:paraId="45A930B7" w14:textId="1668EF0E" w:rsidR="008136E5" w:rsidRPr="005C58C1" w:rsidRDefault="7A388282" w:rsidP="00B07ECF">
      <w:pPr>
        <w:pStyle w:val="ListParagraph"/>
        <w:numPr>
          <w:ilvl w:val="1"/>
          <w:numId w:val="1"/>
        </w:numPr>
        <w:spacing w:after="0" w:line="240" w:lineRule="auto"/>
        <w:rPr>
          <w:b/>
          <w:bCs/>
        </w:rPr>
      </w:pPr>
      <w:r w:rsidRPr="290496F1">
        <w:rPr>
          <w:b/>
          <w:bCs/>
        </w:rPr>
        <w:t xml:space="preserve">Evidence synthesis </w:t>
      </w:r>
    </w:p>
    <w:p w14:paraId="228C9247" w14:textId="593F3955" w:rsidR="4FA48796" w:rsidRDefault="4FA48796" w:rsidP="00B07ECF">
      <w:pPr>
        <w:spacing w:after="0" w:line="240" w:lineRule="auto"/>
        <w:rPr>
          <w:i/>
          <w:iCs/>
          <w:color w:val="4F81BD" w:themeColor="accent1"/>
        </w:rPr>
      </w:pPr>
    </w:p>
    <w:p w14:paraId="603B0BD2" w14:textId="1862F59E" w:rsidR="1EEA6176" w:rsidRPr="00F71D6C" w:rsidRDefault="6C99C01A" w:rsidP="00B07ECF">
      <w:pPr>
        <w:spacing w:after="0" w:line="240" w:lineRule="auto"/>
        <w:rPr>
          <w:b/>
          <w:bCs/>
          <w:i/>
          <w:iCs/>
        </w:rPr>
      </w:pPr>
      <w:r w:rsidRPr="00F71D6C">
        <w:rPr>
          <w:b/>
          <w:bCs/>
          <w:i/>
          <w:iCs/>
        </w:rPr>
        <w:t>Description of included SRs</w:t>
      </w:r>
    </w:p>
    <w:p w14:paraId="6E483E5D" w14:textId="7AC32910" w:rsidR="37AA2F7B" w:rsidRPr="00A61AD9" w:rsidRDefault="37AA2F7B" w:rsidP="00B07ECF">
      <w:pPr>
        <w:spacing w:after="0" w:line="240" w:lineRule="auto"/>
      </w:pPr>
      <w:r w:rsidRPr="00A61AD9">
        <w:t xml:space="preserve">We found </w:t>
      </w:r>
      <w:proofErr w:type="gramStart"/>
      <w:r w:rsidRPr="00A61AD9">
        <w:t>4</w:t>
      </w:r>
      <w:proofErr w:type="gramEnd"/>
      <w:r w:rsidRPr="00A61AD9">
        <w:t xml:space="preserve"> Cochrane Systematic Reviews and 3 non-Cochrane reviews. Three SRs were included (&lt;2018) </w:t>
      </w:r>
      <w:r w:rsidR="575688FC" w:rsidRPr="00A61AD9">
        <w:t>as they were part of the original evidence review in 2018/2019 (See Table 11: Characteristics of included review</w:t>
      </w:r>
      <w:r w:rsidR="30C69753" w:rsidRPr="00A61AD9">
        <w:t xml:space="preserve">s). </w:t>
      </w:r>
      <w:r w:rsidR="00A61AD9" w:rsidRPr="00A61AD9">
        <w:t xml:space="preserve">Below </w:t>
      </w:r>
      <w:r w:rsidR="00A61AD9">
        <w:t>we include original evidence from the 2018/2019 review, and additional evidence, with references.</w:t>
      </w:r>
    </w:p>
    <w:p w14:paraId="2C016AA8" w14:textId="4DCA274B" w:rsidR="1EEA6176" w:rsidRPr="00F71D6C" w:rsidRDefault="1EEA6176" w:rsidP="00B07ECF">
      <w:pPr>
        <w:spacing w:after="0" w:line="240" w:lineRule="auto"/>
        <w:rPr>
          <w:i/>
          <w:iCs/>
        </w:rPr>
      </w:pPr>
    </w:p>
    <w:p w14:paraId="3E586CFD" w14:textId="39E16A79" w:rsidR="6C99C01A" w:rsidRPr="00F71D6C" w:rsidRDefault="6C99C01A">
      <w:pPr>
        <w:spacing w:after="0" w:line="240" w:lineRule="auto"/>
        <w:rPr>
          <w:b/>
          <w:bCs/>
          <w:i/>
          <w:iCs/>
        </w:rPr>
      </w:pPr>
      <w:r w:rsidRPr="00F71D6C">
        <w:rPr>
          <w:b/>
          <w:bCs/>
          <w:i/>
          <w:iCs/>
        </w:rPr>
        <w:t>Results of Systematic Reviews</w:t>
      </w:r>
    </w:p>
    <w:p w14:paraId="746C661F" w14:textId="66F5DBAD" w:rsidR="52583785" w:rsidRPr="00A61AD9" w:rsidRDefault="52583785">
      <w:pPr>
        <w:spacing w:after="0" w:line="240" w:lineRule="auto"/>
      </w:pPr>
      <w:r w:rsidRPr="00A61AD9">
        <w:t>We found no new RCTs addressing burn dressings</w:t>
      </w:r>
      <w:r w:rsidR="69E8F8EB" w:rsidRPr="00A61AD9">
        <w:t xml:space="preserve">. The 2013 Cochrane review informing the previous recommendations </w:t>
      </w:r>
      <w:proofErr w:type="gramStart"/>
      <w:r w:rsidR="69E8F8EB" w:rsidRPr="00A61AD9">
        <w:t>has not been updated</w:t>
      </w:r>
      <w:proofErr w:type="gramEnd"/>
      <w:r w:rsidR="69E8F8EB" w:rsidRPr="00A61AD9">
        <w:t xml:space="preserve">. New SRs across topics provide no new evidence for </w:t>
      </w:r>
      <w:r w:rsidR="704F8F4F" w:rsidRPr="00A61AD9">
        <w:t xml:space="preserve">povidone iodine, silver sulfadiazine, </w:t>
      </w:r>
      <w:proofErr w:type="spellStart"/>
      <w:r w:rsidR="704F8F4F" w:rsidRPr="00A61AD9">
        <w:t>mupirocin</w:t>
      </w:r>
      <w:proofErr w:type="spellEnd"/>
      <w:r w:rsidR="704F8F4F" w:rsidRPr="00A61AD9">
        <w:t xml:space="preserve">, </w:t>
      </w:r>
      <w:proofErr w:type="spellStart"/>
      <w:r w:rsidR="704F8F4F" w:rsidRPr="00A61AD9">
        <w:t>nano</w:t>
      </w:r>
      <w:proofErr w:type="spellEnd"/>
      <w:r w:rsidR="704F8F4F" w:rsidRPr="00A61AD9">
        <w:t xml:space="preserve">‐crystalline dressings and melaleuca </w:t>
      </w:r>
      <w:proofErr w:type="spellStart"/>
      <w:r w:rsidR="704F8F4F" w:rsidRPr="00A61AD9">
        <w:t>alternifolia</w:t>
      </w:r>
      <w:proofErr w:type="spellEnd"/>
      <w:r w:rsidR="704F8F4F" w:rsidRPr="00A61AD9">
        <w:t xml:space="preserve">. </w:t>
      </w:r>
    </w:p>
    <w:p w14:paraId="55384570" w14:textId="0CB1C9DF" w:rsidR="1EEA6176" w:rsidRPr="00F71D6C" w:rsidRDefault="1EEA6176">
      <w:pPr>
        <w:spacing w:after="0" w:line="240" w:lineRule="auto"/>
        <w:rPr>
          <w:i/>
          <w:iCs/>
        </w:rPr>
      </w:pPr>
    </w:p>
    <w:p w14:paraId="3DF213CC" w14:textId="28C809D3" w:rsidR="06AF98DA" w:rsidRPr="00F71D6C" w:rsidRDefault="06AF98DA">
      <w:pPr>
        <w:spacing w:after="0" w:line="240" w:lineRule="auto"/>
        <w:rPr>
          <w:b/>
          <w:bCs/>
          <w:i/>
          <w:iCs/>
        </w:rPr>
      </w:pPr>
      <w:r w:rsidRPr="00F71D6C">
        <w:rPr>
          <w:b/>
          <w:bCs/>
          <w:i/>
          <w:iCs/>
        </w:rPr>
        <w:t xml:space="preserve">Silver Sulfadiazine </w:t>
      </w:r>
    </w:p>
    <w:p w14:paraId="72869E41" w14:textId="5EBE268D" w:rsidR="4714EDD4" w:rsidRPr="00A61AD9" w:rsidRDefault="087008A3">
      <w:pPr>
        <w:spacing w:after="0" w:line="240" w:lineRule="auto"/>
      </w:pPr>
      <w:r w:rsidRPr="00A61AD9">
        <w:t xml:space="preserve">Silver </w:t>
      </w:r>
      <w:proofErr w:type="spellStart"/>
      <w:r w:rsidRPr="00A61AD9">
        <w:t>sulphadiazine</w:t>
      </w:r>
      <w:proofErr w:type="spellEnd"/>
      <w:r w:rsidRPr="00A61AD9">
        <w:t xml:space="preserve"> was consistently associated with poorer healing outcomes than biosynthetic (skin substitute) dressings, silver‐containing dressings and silicon‐coated dressings. (</w:t>
      </w:r>
      <w:proofErr w:type="spellStart"/>
      <w:r w:rsidR="00641826">
        <w:fldChar w:fldCharType="begin"/>
      </w:r>
      <w:r w:rsidR="00641826">
        <w:instrText xml:space="preserve"> HYPERLINK "https://www.cochranelibrary.com/cdsr/doi/10.1002/14651858.CD002106.pub4/full" \h </w:instrText>
      </w:r>
      <w:r w:rsidR="00641826">
        <w:fldChar w:fldCharType="separate"/>
      </w:r>
      <w:r w:rsidRPr="00A61AD9">
        <w:rPr>
          <w:rStyle w:val="Hyperlink"/>
          <w:color w:val="auto"/>
        </w:rPr>
        <w:t>Wasiak</w:t>
      </w:r>
      <w:proofErr w:type="spellEnd"/>
      <w:r w:rsidRPr="00A61AD9">
        <w:rPr>
          <w:rStyle w:val="Hyperlink"/>
          <w:color w:val="auto"/>
        </w:rPr>
        <w:t>, 2013, Cochrane Review</w:t>
      </w:r>
      <w:r w:rsidR="00641826">
        <w:rPr>
          <w:rStyle w:val="Hyperlink"/>
          <w:color w:val="auto"/>
        </w:rPr>
        <w:fldChar w:fldCharType="end"/>
      </w:r>
      <w:r w:rsidRPr="00A61AD9">
        <w:t>)</w:t>
      </w:r>
      <w:r w:rsidR="0F372E97" w:rsidRPr="00A61AD9">
        <w:t>.</w:t>
      </w:r>
    </w:p>
    <w:p w14:paraId="408CCCE0" w14:textId="30AF16D1" w:rsidR="4714EDD4" w:rsidRPr="00A61AD9" w:rsidRDefault="4714EDD4">
      <w:pPr>
        <w:spacing w:after="0" w:line="240" w:lineRule="auto"/>
      </w:pPr>
    </w:p>
    <w:p w14:paraId="0C467597" w14:textId="3EF9ED70" w:rsidR="4714EDD4" w:rsidRPr="00A61AD9" w:rsidRDefault="38347902">
      <w:pPr>
        <w:spacing w:after="0" w:line="240" w:lineRule="auto"/>
      </w:pPr>
      <w:r w:rsidRPr="00A61AD9">
        <w:t xml:space="preserve">Silver sulfadiazine was associated with a statistically significant increase in burn wound infection vs. dressings/skin substitute (OR = 1.87; 95% CI: 1.09 to 3.19, I2 = 0%). </w:t>
      </w:r>
      <w:proofErr w:type="gramStart"/>
      <w:r w:rsidRPr="00A61AD9">
        <w:t>Though</w:t>
      </w:r>
      <w:proofErr w:type="gramEnd"/>
      <w:r w:rsidRPr="00A61AD9">
        <w:t>, RCTs were at high, or unclear, risk of bias. Silver sulfadiazine was also associated with significantly longer length of hospital stay vs dressings/skin substitute (MD = 2.11 days; 95% CI: 1.93 to 2.28</w:t>
      </w:r>
      <w:r w:rsidR="21DE6BCA" w:rsidRPr="00A61AD9">
        <w:t>) (</w:t>
      </w:r>
      <w:hyperlink r:id="rId21">
        <w:r w:rsidRPr="00A61AD9">
          <w:rPr>
            <w:rStyle w:val="Hyperlink"/>
            <w:color w:val="auto"/>
          </w:rPr>
          <w:t>Barajas-Nava, 2013</w:t>
        </w:r>
      </w:hyperlink>
      <w:r w:rsidRPr="00A61AD9">
        <w:t>, Cochrane Review)</w:t>
      </w:r>
    </w:p>
    <w:p w14:paraId="4F3A6E75" w14:textId="3A03C0D4" w:rsidR="4714EDD4" w:rsidRPr="00A61AD9" w:rsidRDefault="4714EDD4">
      <w:pPr>
        <w:spacing w:after="0" w:line="240" w:lineRule="auto"/>
      </w:pPr>
    </w:p>
    <w:p w14:paraId="282AD22F" w14:textId="67060DF3" w:rsidR="4714EDD4" w:rsidRPr="00A61AD9" w:rsidRDefault="0F372E97">
      <w:pPr>
        <w:spacing w:after="0" w:line="240" w:lineRule="auto"/>
      </w:pPr>
      <w:r w:rsidRPr="00A61AD9">
        <w:t>Similar results found in other SRs for SSD (</w:t>
      </w:r>
      <w:proofErr w:type="spellStart"/>
      <w:r w:rsidR="00641826">
        <w:fldChar w:fldCharType="begin"/>
      </w:r>
      <w:r w:rsidR="00641826">
        <w:instrText xml:space="preserve"> HYPERLINK "https://www.epistemonikos.org/en/documents/670cbe3810cea0828239b90967fcf75dd31a19c2" \h </w:instrText>
      </w:r>
      <w:r w:rsidR="00641826">
        <w:fldChar w:fldCharType="separate"/>
      </w:r>
      <w:r w:rsidRPr="00A61AD9">
        <w:rPr>
          <w:rStyle w:val="Hyperlink"/>
          <w:color w:val="auto"/>
        </w:rPr>
        <w:t>Nimia</w:t>
      </w:r>
      <w:proofErr w:type="spellEnd"/>
      <w:r w:rsidRPr="00A61AD9">
        <w:rPr>
          <w:rStyle w:val="Hyperlink"/>
          <w:color w:val="auto"/>
        </w:rPr>
        <w:t>, 2019</w:t>
      </w:r>
      <w:r w:rsidR="00641826">
        <w:rPr>
          <w:rStyle w:val="Hyperlink"/>
          <w:color w:val="auto"/>
        </w:rPr>
        <w:fldChar w:fldCharType="end"/>
      </w:r>
      <w:r w:rsidR="68A73CED" w:rsidRPr="00A61AD9">
        <w:t xml:space="preserve"> and </w:t>
      </w:r>
      <w:hyperlink r:id="rId22">
        <w:proofErr w:type="spellStart"/>
        <w:r w:rsidR="68A73CED" w:rsidRPr="00A61AD9">
          <w:rPr>
            <w:rStyle w:val="Hyperlink"/>
            <w:color w:val="auto"/>
          </w:rPr>
          <w:t>Maciel</w:t>
        </w:r>
        <w:proofErr w:type="spellEnd"/>
        <w:r w:rsidR="68A73CED" w:rsidRPr="00A61AD9">
          <w:rPr>
            <w:rStyle w:val="Hyperlink"/>
            <w:color w:val="auto"/>
          </w:rPr>
          <w:t>, 2019</w:t>
        </w:r>
      </w:hyperlink>
      <w:r w:rsidRPr="00A61AD9">
        <w:t>)</w:t>
      </w:r>
      <w:r w:rsidR="3B7D22F3" w:rsidRPr="00A61AD9">
        <w:t xml:space="preserve">. </w:t>
      </w:r>
      <w:r w:rsidR="236F3B5A" w:rsidRPr="00A61AD9">
        <w:t>Moderate quality evidence indicates that there is no significant difference in wound healing between silver-containing foam dressing and SSD dressing</w:t>
      </w:r>
      <w:r w:rsidR="0E519BD6" w:rsidRPr="00A61AD9">
        <w:t xml:space="preserve"> (</w:t>
      </w:r>
      <w:proofErr w:type="spellStart"/>
      <w:r w:rsidR="00641826">
        <w:fldChar w:fldCharType="begin"/>
      </w:r>
      <w:r w:rsidR="00641826">
        <w:instrText xml:space="preserve"> HYPERLINK "https://www.epistemonikos.org/en/documents/62bf0fa634771064fd1e91c0667b9150056f0db7" \h </w:instrText>
      </w:r>
      <w:r w:rsidR="00641826">
        <w:fldChar w:fldCharType="separate"/>
      </w:r>
      <w:r w:rsidR="0E519BD6" w:rsidRPr="00A61AD9">
        <w:rPr>
          <w:rStyle w:val="Hyperlink"/>
          <w:color w:val="auto"/>
        </w:rPr>
        <w:t>Chaganti</w:t>
      </w:r>
      <w:proofErr w:type="spellEnd"/>
      <w:r w:rsidR="0E519BD6" w:rsidRPr="00A61AD9">
        <w:rPr>
          <w:rStyle w:val="Hyperlink"/>
          <w:color w:val="auto"/>
        </w:rPr>
        <w:t>, 2019</w:t>
      </w:r>
      <w:r w:rsidR="00641826">
        <w:rPr>
          <w:rStyle w:val="Hyperlink"/>
          <w:color w:val="auto"/>
        </w:rPr>
        <w:fldChar w:fldCharType="end"/>
      </w:r>
      <w:r w:rsidR="0E519BD6" w:rsidRPr="00A61AD9">
        <w:t>)</w:t>
      </w:r>
      <w:r w:rsidR="0A4AF629" w:rsidRPr="00A61AD9">
        <w:t>.</w:t>
      </w:r>
    </w:p>
    <w:p w14:paraId="08BFBF5F" w14:textId="269AEDD3" w:rsidR="4714EDD4" w:rsidRPr="00A61AD9" w:rsidRDefault="4714EDD4">
      <w:pPr>
        <w:spacing w:after="0" w:line="240" w:lineRule="auto"/>
      </w:pPr>
    </w:p>
    <w:p w14:paraId="787659F8" w14:textId="300AB788" w:rsidR="4714EDD4" w:rsidRPr="00F71D6C" w:rsidRDefault="4714EDD4">
      <w:pPr>
        <w:spacing w:after="0" w:line="240" w:lineRule="auto"/>
        <w:rPr>
          <w:b/>
          <w:bCs/>
          <w:i/>
          <w:iCs/>
        </w:rPr>
      </w:pPr>
      <w:r w:rsidRPr="00F71D6C">
        <w:rPr>
          <w:b/>
          <w:bCs/>
          <w:i/>
          <w:iCs/>
        </w:rPr>
        <w:t xml:space="preserve">Povidone iodine: </w:t>
      </w:r>
    </w:p>
    <w:p w14:paraId="400AF67B" w14:textId="02B5F00A" w:rsidR="4714EDD4" w:rsidRPr="00A61AD9" w:rsidRDefault="4714EDD4">
      <w:pPr>
        <w:spacing w:after="0" w:line="240" w:lineRule="auto"/>
      </w:pPr>
      <w:r w:rsidRPr="00A61AD9">
        <w:t>Cochrane review showed that there is probably no difference in infection rates between an</w:t>
      </w:r>
      <w:r w:rsidR="7970D85F" w:rsidRPr="00A61AD9">
        <w:t xml:space="preserve"> </w:t>
      </w:r>
      <w:r w:rsidRPr="00A61AD9">
        <w:t>iodine‐based treatment vs moist exposed burn ointment (moderate certainty evidence) – Mean time to healing for</w:t>
      </w:r>
      <w:r w:rsidR="22348437" w:rsidRPr="00A61AD9">
        <w:t xml:space="preserve"> </w:t>
      </w:r>
      <w:r w:rsidRPr="00A61AD9">
        <w:t>wounds treated with povidone iodine vs chlorhexidine: MD ‐ 2.21 days, 95% CI 0.34 to 4.08. (</w:t>
      </w:r>
      <w:hyperlink r:id="rId23">
        <w:r w:rsidRPr="00A61AD9">
          <w:rPr>
            <w:rStyle w:val="Hyperlink"/>
            <w:color w:val="auto"/>
          </w:rPr>
          <w:t>Norman, 2017, Cochrane Review</w:t>
        </w:r>
      </w:hyperlink>
      <w:r w:rsidRPr="00A61AD9">
        <w:t>)</w:t>
      </w:r>
    </w:p>
    <w:p w14:paraId="524A0576" w14:textId="57BF45C3" w:rsidR="4FA48796" w:rsidRPr="00F71D6C" w:rsidRDefault="4FA48796">
      <w:pPr>
        <w:spacing w:after="0" w:line="240" w:lineRule="auto"/>
        <w:rPr>
          <w:i/>
          <w:iCs/>
        </w:rPr>
      </w:pPr>
    </w:p>
    <w:p w14:paraId="04213FA5" w14:textId="12BE3EB3" w:rsidR="4FA48796" w:rsidRPr="00F71D6C" w:rsidRDefault="0FFBCC1C">
      <w:pPr>
        <w:spacing w:after="0" w:line="240" w:lineRule="auto"/>
        <w:rPr>
          <w:i/>
          <w:iCs/>
        </w:rPr>
      </w:pPr>
      <w:r w:rsidRPr="00F71D6C">
        <w:rPr>
          <w:b/>
          <w:bCs/>
          <w:i/>
          <w:iCs/>
        </w:rPr>
        <w:t xml:space="preserve">Melaleuca </w:t>
      </w:r>
      <w:proofErr w:type="spellStart"/>
      <w:r w:rsidRPr="00F71D6C">
        <w:rPr>
          <w:b/>
          <w:bCs/>
          <w:i/>
          <w:iCs/>
        </w:rPr>
        <w:t>alternifolia</w:t>
      </w:r>
      <w:proofErr w:type="spellEnd"/>
      <w:r w:rsidRPr="00F71D6C">
        <w:rPr>
          <w:b/>
          <w:bCs/>
          <w:i/>
          <w:iCs/>
        </w:rPr>
        <w:t>:</w:t>
      </w:r>
      <w:r w:rsidRPr="00F71D6C">
        <w:rPr>
          <w:i/>
          <w:iCs/>
        </w:rPr>
        <w:t xml:space="preserve"> </w:t>
      </w:r>
    </w:p>
    <w:p w14:paraId="05C374D0" w14:textId="4FB3537E" w:rsidR="4FA48796" w:rsidRPr="00A61AD9" w:rsidRDefault="0FFBCC1C">
      <w:pPr>
        <w:spacing w:after="0" w:line="240" w:lineRule="auto"/>
      </w:pPr>
      <w:r w:rsidRPr="00A61AD9">
        <w:t xml:space="preserve">No available evidence </w:t>
      </w:r>
      <w:proofErr w:type="gramStart"/>
      <w:r w:rsidRPr="00A61AD9">
        <w:t>could be sourced</w:t>
      </w:r>
      <w:proofErr w:type="gramEnd"/>
      <w:r w:rsidRPr="00A61AD9">
        <w:t xml:space="preserve"> for cooling burns with Melaleuca </w:t>
      </w:r>
      <w:proofErr w:type="spellStart"/>
      <w:r w:rsidRPr="00A61AD9">
        <w:t>alternifolia</w:t>
      </w:r>
      <w:proofErr w:type="spellEnd"/>
      <w:r w:rsidRPr="00A61AD9">
        <w:t xml:space="preserve"> (tea tree</w:t>
      </w:r>
    </w:p>
    <w:p w14:paraId="55B96F5D" w14:textId="3AF2D1BE" w:rsidR="4FA48796" w:rsidRPr="00A61AD9" w:rsidRDefault="0FFBCC1C">
      <w:pPr>
        <w:spacing w:after="0" w:line="240" w:lineRule="auto"/>
      </w:pPr>
      <w:proofErr w:type="gramStart"/>
      <w:r w:rsidRPr="00A61AD9">
        <w:t>oil</w:t>
      </w:r>
      <w:proofErr w:type="gramEnd"/>
      <w:r w:rsidRPr="00A61AD9">
        <w:t xml:space="preserve">) for the first 12 hours. There is also the associated risk of hypothermia for large burn wounds, if this </w:t>
      </w:r>
      <w:proofErr w:type="gramStart"/>
      <w:r w:rsidRPr="00A61AD9">
        <w:t>is practiced</w:t>
      </w:r>
      <w:proofErr w:type="gramEnd"/>
    </w:p>
    <w:p w14:paraId="4C281FD4" w14:textId="0D3008E8" w:rsidR="43163FEC" w:rsidRPr="00F71D6C" w:rsidRDefault="43163FEC">
      <w:pPr>
        <w:spacing w:after="0" w:line="240" w:lineRule="auto"/>
        <w:rPr>
          <w:i/>
          <w:iCs/>
        </w:rPr>
      </w:pPr>
    </w:p>
    <w:p w14:paraId="5DD57140" w14:textId="4F35AD0F" w:rsidR="1FC5FC6B" w:rsidRPr="00F71D6C" w:rsidRDefault="1FC5FC6B">
      <w:pPr>
        <w:spacing w:after="0" w:line="240" w:lineRule="auto"/>
        <w:rPr>
          <w:b/>
          <w:bCs/>
          <w:i/>
          <w:iCs/>
        </w:rPr>
      </w:pPr>
      <w:r w:rsidRPr="00F71D6C">
        <w:rPr>
          <w:b/>
          <w:bCs/>
          <w:i/>
          <w:iCs/>
        </w:rPr>
        <w:t xml:space="preserve">Nano‐crystalline dressings: </w:t>
      </w:r>
    </w:p>
    <w:p w14:paraId="4212C76F" w14:textId="2FBD5057" w:rsidR="1FC5FC6B" w:rsidRPr="00A61AD9" w:rsidRDefault="1FC5FC6B">
      <w:pPr>
        <w:spacing w:after="0" w:line="240" w:lineRule="auto"/>
      </w:pPr>
      <w:r w:rsidRPr="00A61AD9">
        <w:t>Cochrane review showed that, “There is moderate certainty evidence that, on average,</w:t>
      </w:r>
      <w:r w:rsidR="5B763A95" w:rsidRPr="00A61AD9">
        <w:t xml:space="preserve"> </w:t>
      </w:r>
      <w:r w:rsidRPr="00A61AD9">
        <w:t xml:space="preserve">burns treated with </w:t>
      </w:r>
      <w:proofErr w:type="spellStart"/>
      <w:r w:rsidRPr="00A61AD9">
        <w:t>nanocrystalline</w:t>
      </w:r>
      <w:proofErr w:type="spellEnd"/>
      <w:r w:rsidRPr="00A61AD9">
        <w:t xml:space="preserve"> silver dressings probably have a slightly shorter mean time to healing than those</w:t>
      </w:r>
    </w:p>
    <w:p w14:paraId="63DA21F2" w14:textId="1073E1A5" w:rsidR="1FC5FC6B" w:rsidRPr="00A61AD9" w:rsidRDefault="1FC5FC6B">
      <w:pPr>
        <w:spacing w:after="0" w:line="240" w:lineRule="auto"/>
      </w:pPr>
      <w:proofErr w:type="gramStart"/>
      <w:r w:rsidRPr="00A61AD9">
        <w:t>treated</w:t>
      </w:r>
      <w:proofErr w:type="gramEnd"/>
      <w:r w:rsidRPr="00A61AD9">
        <w:t xml:space="preserve"> with Vaseline gauze (difference in means ‐3.49 days, 95%CI ‐4.46 to ‐2.52; I2 = 0%; 2 studies, n=204), but low</w:t>
      </w:r>
    </w:p>
    <w:p w14:paraId="6E8ADBD7" w14:textId="4967BFB7" w:rsidR="1FC5FC6B" w:rsidRPr="00A61AD9" w:rsidRDefault="1FC5FC6B">
      <w:pPr>
        <w:spacing w:after="0" w:line="240" w:lineRule="auto"/>
      </w:pPr>
      <w:proofErr w:type="gramStart"/>
      <w:r w:rsidRPr="00A61AD9">
        <w:t>certainty</w:t>
      </w:r>
      <w:proofErr w:type="gramEnd"/>
      <w:r w:rsidRPr="00A61AD9">
        <w:t xml:space="preserve"> evidence that there may be little or no difference in numbers of healing events at 14 days between burns</w:t>
      </w:r>
    </w:p>
    <w:p w14:paraId="70308DF3" w14:textId="696823FC" w:rsidR="4FA48796" w:rsidRPr="00A61AD9" w:rsidRDefault="1FC5FC6B">
      <w:pPr>
        <w:spacing w:after="0" w:line="240" w:lineRule="auto"/>
      </w:pPr>
      <w:proofErr w:type="gramStart"/>
      <w:r w:rsidRPr="00A61AD9">
        <w:t>treated</w:t>
      </w:r>
      <w:proofErr w:type="gramEnd"/>
      <w:r w:rsidRPr="00A61AD9">
        <w:t xml:space="preserve"> with silver xenograft or paraffin gauze (RR 1.13, 95% CI 0.59 to 2.16 1 study; n=32</w:t>
      </w:r>
      <w:r w:rsidR="4C856B0E" w:rsidRPr="00A61AD9">
        <w:t>) (</w:t>
      </w:r>
      <w:hyperlink r:id="rId24">
        <w:r w:rsidR="4C856B0E" w:rsidRPr="00A61AD9">
          <w:rPr>
            <w:rStyle w:val="Hyperlink"/>
            <w:color w:val="auto"/>
          </w:rPr>
          <w:t>Norman, 2017, Cochrane Review</w:t>
        </w:r>
      </w:hyperlink>
      <w:r w:rsidR="4C856B0E" w:rsidRPr="00A61AD9">
        <w:t xml:space="preserve">). </w:t>
      </w:r>
    </w:p>
    <w:p w14:paraId="13472DD8" w14:textId="31346C78" w:rsidR="4FA48796" w:rsidRDefault="4FA48796">
      <w:pPr>
        <w:spacing w:after="0" w:line="240" w:lineRule="auto"/>
        <w:rPr>
          <w:i/>
          <w:iCs/>
          <w:color w:val="4F80BD"/>
        </w:rPr>
      </w:pPr>
    </w:p>
    <w:p w14:paraId="4099CF08" w14:textId="381AD7BA" w:rsidR="4FA48796" w:rsidRDefault="10F99859">
      <w:pPr>
        <w:spacing w:after="0" w:line="240" w:lineRule="auto"/>
        <w:rPr>
          <w:b/>
          <w:bCs/>
          <w:i/>
          <w:iCs/>
        </w:rPr>
      </w:pPr>
      <w:proofErr w:type="spellStart"/>
      <w:r w:rsidRPr="290496F1">
        <w:rPr>
          <w:b/>
          <w:bCs/>
          <w:i/>
          <w:iCs/>
        </w:rPr>
        <w:t>Mupirocin</w:t>
      </w:r>
      <w:proofErr w:type="spellEnd"/>
      <w:r w:rsidRPr="290496F1">
        <w:rPr>
          <w:b/>
          <w:bCs/>
          <w:i/>
          <w:iCs/>
        </w:rPr>
        <w:t>:</w:t>
      </w:r>
    </w:p>
    <w:p w14:paraId="3A3FDD6D" w14:textId="0FC4233D" w:rsidR="4FA48796" w:rsidRPr="00A61AD9" w:rsidRDefault="10F99859">
      <w:pPr>
        <w:spacing w:after="0" w:line="240" w:lineRule="auto"/>
      </w:pPr>
      <w:r w:rsidRPr="00A61AD9">
        <w:t xml:space="preserve">We found no RCTs or SRs of </w:t>
      </w:r>
      <w:proofErr w:type="spellStart"/>
      <w:r w:rsidRPr="00A61AD9">
        <w:t>Mupirocin</w:t>
      </w:r>
      <w:proofErr w:type="spellEnd"/>
      <w:r w:rsidRPr="00A61AD9">
        <w:t xml:space="preserve">. </w:t>
      </w:r>
    </w:p>
    <w:p w14:paraId="652D8355" w14:textId="0A1AA045" w:rsidR="4FA48796" w:rsidRDefault="4FA48796">
      <w:pPr>
        <w:spacing w:after="0" w:line="240" w:lineRule="auto"/>
        <w:rPr>
          <w:i/>
          <w:iCs/>
        </w:rPr>
      </w:pPr>
    </w:p>
    <w:p w14:paraId="75FFE29E" w14:textId="31FDCC17" w:rsidR="4FA48796" w:rsidRPr="00F71D6C" w:rsidRDefault="6086960F">
      <w:pPr>
        <w:spacing w:after="0" w:line="240" w:lineRule="auto"/>
        <w:rPr>
          <w:b/>
          <w:bCs/>
        </w:rPr>
      </w:pPr>
      <w:r w:rsidRPr="00F71D6C">
        <w:rPr>
          <w:b/>
          <w:bCs/>
        </w:rPr>
        <w:t xml:space="preserve">Facial Burns </w:t>
      </w:r>
    </w:p>
    <w:p w14:paraId="354D699C" w14:textId="35C89FC5" w:rsidR="4FA48796" w:rsidRPr="00F71D6C" w:rsidRDefault="6086960F">
      <w:pPr>
        <w:spacing w:after="0" w:line="240" w:lineRule="auto"/>
        <w:rPr>
          <w:i/>
          <w:iCs/>
        </w:rPr>
      </w:pPr>
      <w:r w:rsidRPr="00F71D6C">
        <w:rPr>
          <w:b/>
          <w:bCs/>
          <w:i/>
          <w:iCs/>
        </w:rPr>
        <w:t>Topical antimicrobial agents versus topical non‐antimicrobial agents</w:t>
      </w:r>
      <w:r w:rsidRPr="00F71D6C">
        <w:rPr>
          <w:i/>
          <w:iCs/>
        </w:rPr>
        <w:t xml:space="preserve"> (</w:t>
      </w:r>
      <w:proofErr w:type="spellStart"/>
      <w:r w:rsidR="00641826">
        <w:fldChar w:fldCharType="begin"/>
      </w:r>
      <w:r w:rsidR="00641826">
        <w:instrText xml:space="preserve"> HYPERLINK "https://www.cochranelibrary.com/cdsr/doi/10.1002/14651858.CD008058.pub3/full?highlightAbstract=burn%7Cdressings%7Cdress%7Cfour%7Cfor%7Cburns%7Cfacial" \h </w:instrText>
      </w:r>
      <w:r w:rsidR="00641826">
        <w:fldChar w:fldCharType="separate"/>
      </w:r>
      <w:r w:rsidRPr="00F71D6C">
        <w:rPr>
          <w:rStyle w:val="Hyperlink"/>
          <w:i/>
          <w:iCs/>
          <w:color w:val="auto"/>
        </w:rPr>
        <w:t>Hoogewerf</w:t>
      </w:r>
      <w:proofErr w:type="spellEnd"/>
      <w:r w:rsidRPr="00F71D6C">
        <w:rPr>
          <w:rStyle w:val="Hyperlink"/>
          <w:i/>
          <w:iCs/>
          <w:color w:val="auto"/>
        </w:rPr>
        <w:t>, 2020</w:t>
      </w:r>
      <w:r w:rsidR="00641826">
        <w:rPr>
          <w:rStyle w:val="Hyperlink"/>
          <w:i/>
          <w:iCs/>
          <w:color w:val="auto"/>
        </w:rPr>
        <w:fldChar w:fldCharType="end"/>
      </w:r>
      <w:r w:rsidRPr="00F71D6C">
        <w:rPr>
          <w:i/>
          <w:iCs/>
        </w:rPr>
        <w:t>)</w:t>
      </w:r>
    </w:p>
    <w:p w14:paraId="6D701F42" w14:textId="611F2996" w:rsidR="4FA48796" w:rsidRPr="00A61AD9" w:rsidRDefault="6086960F">
      <w:pPr>
        <w:spacing w:after="0" w:line="240" w:lineRule="auto"/>
        <w:rPr>
          <w:rFonts w:cstheme="minorHAnsi"/>
        </w:rPr>
      </w:pPr>
      <w:r w:rsidRPr="00A61AD9">
        <w:rPr>
          <w:rFonts w:cstheme="minorHAnsi"/>
        </w:rPr>
        <w:t>There is moderate‐certainty evidence that there is probably little or no difference between antimicrobial agents and non‐antimicrobial agents (SSD and MEBO) in time to complete wound healing (hazard ratio (HR) 0.84 (95% confidence interval (CI) 0.78 to 1.85, 1 study, 39 participants).</w:t>
      </w:r>
    </w:p>
    <w:p w14:paraId="171B7DF6" w14:textId="4EBF9469" w:rsidR="4FA48796" w:rsidRPr="00F71D6C" w:rsidRDefault="4FA48796">
      <w:pPr>
        <w:spacing w:after="0" w:line="240" w:lineRule="auto"/>
        <w:rPr>
          <w:rFonts w:cstheme="minorHAnsi"/>
          <w:i/>
          <w:iCs/>
        </w:rPr>
      </w:pPr>
    </w:p>
    <w:p w14:paraId="31E21A0E" w14:textId="6AE301CC" w:rsidR="4FA48796" w:rsidRPr="00F71D6C" w:rsidRDefault="6086960F">
      <w:pPr>
        <w:spacing w:after="0" w:line="240" w:lineRule="auto"/>
        <w:rPr>
          <w:rFonts w:cstheme="minorHAnsi"/>
          <w:i/>
          <w:iCs/>
        </w:rPr>
      </w:pPr>
      <w:r w:rsidRPr="00F71D6C">
        <w:rPr>
          <w:rFonts w:cstheme="minorHAnsi"/>
          <w:b/>
          <w:bCs/>
          <w:i/>
          <w:iCs/>
        </w:rPr>
        <w:t xml:space="preserve">Topical antimicrobial agents versus other topical antimicrobial agent </w:t>
      </w:r>
      <w:r w:rsidRPr="00F71D6C">
        <w:rPr>
          <w:rFonts w:cstheme="minorHAnsi"/>
          <w:i/>
          <w:iCs/>
        </w:rPr>
        <w:t>(</w:t>
      </w:r>
      <w:proofErr w:type="spellStart"/>
      <w:r w:rsidR="00641826">
        <w:fldChar w:fldCharType="begin"/>
      </w:r>
      <w:r w:rsidR="00641826">
        <w:instrText xml:space="preserve"> HYPERLINK "https://www.cochranelibrary.com/cdsr/doi/10.1002/14651858.CD008058.pub3/full?highlightAbstract=burn%7Cdressings%7Cdress%7Cfour%7Cfor%7Cburns%7Cfacial" \h </w:instrText>
      </w:r>
      <w:r w:rsidR="00641826">
        <w:fldChar w:fldCharType="separate"/>
      </w:r>
      <w:r w:rsidRPr="00F71D6C">
        <w:rPr>
          <w:rStyle w:val="Hyperlink"/>
          <w:rFonts w:cstheme="minorHAnsi"/>
          <w:i/>
          <w:iCs/>
          <w:color w:val="auto"/>
        </w:rPr>
        <w:t>Hoogewerf</w:t>
      </w:r>
      <w:proofErr w:type="spellEnd"/>
      <w:r w:rsidRPr="00F71D6C">
        <w:rPr>
          <w:rStyle w:val="Hyperlink"/>
          <w:rFonts w:cstheme="minorHAnsi"/>
          <w:i/>
          <w:iCs/>
          <w:color w:val="auto"/>
        </w:rPr>
        <w:t>, 2020</w:t>
      </w:r>
      <w:r w:rsidR="00641826">
        <w:rPr>
          <w:rStyle w:val="Hyperlink"/>
          <w:rFonts w:cstheme="minorHAnsi"/>
          <w:i/>
          <w:iCs/>
          <w:color w:val="auto"/>
        </w:rPr>
        <w:fldChar w:fldCharType="end"/>
      </w:r>
      <w:r w:rsidRPr="00F71D6C">
        <w:rPr>
          <w:rFonts w:cstheme="minorHAnsi"/>
          <w:i/>
          <w:iCs/>
        </w:rPr>
        <w:t>)</w:t>
      </w:r>
    </w:p>
    <w:p w14:paraId="6B46BD32" w14:textId="1EB153E8" w:rsidR="4FA48796" w:rsidRPr="00F71D6C" w:rsidRDefault="6086960F">
      <w:pPr>
        <w:spacing w:after="0" w:line="240" w:lineRule="auto"/>
        <w:rPr>
          <w:rFonts w:eastAsia="Source Sans Pro" w:cstheme="minorHAnsi"/>
          <w:color w:val="000000" w:themeColor="text1"/>
        </w:rPr>
      </w:pPr>
      <w:r w:rsidRPr="00F71D6C">
        <w:rPr>
          <w:rFonts w:eastAsia="Source Sans Pro" w:cstheme="minorHAnsi"/>
          <w:color w:val="000000" w:themeColor="text1"/>
        </w:rPr>
        <w:t>There is very low‐certainty evidence regarding whether topical antimicrobial agents make a difference to wound infection (RR 0.73, 95% CI 0.46 to 1.17; 1 study, 15 participants).</w:t>
      </w:r>
    </w:p>
    <w:p w14:paraId="35A16567" w14:textId="50458B10" w:rsidR="1EEA6176" w:rsidRPr="00F71D6C" w:rsidRDefault="1EEA6176">
      <w:pPr>
        <w:spacing w:after="0" w:line="240" w:lineRule="auto"/>
        <w:rPr>
          <w:rFonts w:eastAsia="Source Sans Pro" w:cstheme="minorHAnsi"/>
          <w:color w:val="000000" w:themeColor="text1"/>
        </w:rPr>
      </w:pPr>
    </w:p>
    <w:p w14:paraId="6B46B549" w14:textId="0DE867D8" w:rsidR="6086960F" w:rsidRPr="00F71D6C" w:rsidRDefault="6086960F" w:rsidP="00E3294F">
      <w:pPr>
        <w:spacing w:line="240" w:lineRule="auto"/>
        <w:rPr>
          <w:rFonts w:cstheme="minorHAnsi"/>
          <w:i/>
          <w:iCs/>
        </w:rPr>
      </w:pPr>
      <w:r w:rsidRPr="00F71D6C">
        <w:rPr>
          <w:rFonts w:eastAsia="Source Sans Pro" w:cstheme="minorHAnsi"/>
          <w:b/>
          <w:bCs/>
          <w:color w:val="000000" w:themeColor="text1"/>
        </w:rPr>
        <w:t xml:space="preserve">Skin substitutes versus topical </w:t>
      </w:r>
      <w:r w:rsidRPr="00F71D6C">
        <w:rPr>
          <w:rFonts w:eastAsia="Source Sans Pro" w:cstheme="minorHAnsi"/>
          <w:b/>
          <w:bCs/>
        </w:rPr>
        <w:t xml:space="preserve">antimicrobial agents </w:t>
      </w:r>
      <w:r w:rsidRPr="00F71D6C">
        <w:rPr>
          <w:rFonts w:cstheme="minorHAnsi"/>
          <w:i/>
          <w:iCs/>
        </w:rPr>
        <w:t>(</w:t>
      </w:r>
      <w:proofErr w:type="spellStart"/>
      <w:r w:rsidR="00641826">
        <w:fldChar w:fldCharType="begin"/>
      </w:r>
      <w:r w:rsidR="00641826">
        <w:instrText xml:space="preserve"> HYPERLINK "https://www.cochranelibrary.com/cdsr/doi/10.1002/14651858.CD008058.pub3/full?highlightAbstract=burn%7Cdressings%7Cdress%7Cfour%7Cfor%7Cburns%7Cfacial" \h </w:instrText>
      </w:r>
      <w:r w:rsidR="00641826">
        <w:fldChar w:fldCharType="separate"/>
      </w:r>
      <w:r w:rsidRPr="00F71D6C">
        <w:rPr>
          <w:rStyle w:val="Hyperlink"/>
          <w:rFonts w:cstheme="minorHAnsi"/>
          <w:i/>
          <w:iCs/>
          <w:color w:val="auto"/>
        </w:rPr>
        <w:t>Hoogewerf</w:t>
      </w:r>
      <w:proofErr w:type="spellEnd"/>
      <w:r w:rsidRPr="00F71D6C">
        <w:rPr>
          <w:rStyle w:val="Hyperlink"/>
          <w:rFonts w:cstheme="minorHAnsi"/>
          <w:i/>
          <w:iCs/>
          <w:color w:val="auto"/>
        </w:rPr>
        <w:t>, 2020</w:t>
      </w:r>
      <w:r w:rsidR="00641826">
        <w:rPr>
          <w:rStyle w:val="Hyperlink"/>
          <w:rFonts w:cstheme="minorHAnsi"/>
          <w:i/>
          <w:iCs/>
          <w:color w:val="auto"/>
        </w:rPr>
        <w:fldChar w:fldCharType="end"/>
      </w:r>
      <w:r w:rsidRPr="00F71D6C">
        <w:rPr>
          <w:rFonts w:cstheme="minorHAnsi"/>
          <w:i/>
          <w:iCs/>
        </w:rPr>
        <w:t>)</w:t>
      </w:r>
    </w:p>
    <w:p w14:paraId="13616D91" w14:textId="3CDFF6B5" w:rsidR="6086960F" w:rsidRPr="00F71D6C" w:rsidRDefault="6086960F" w:rsidP="00E3294F">
      <w:pPr>
        <w:spacing w:line="240" w:lineRule="auto"/>
        <w:rPr>
          <w:rFonts w:cstheme="minorHAnsi"/>
        </w:rPr>
      </w:pPr>
      <w:r w:rsidRPr="00F71D6C">
        <w:rPr>
          <w:rFonts w:eastAsia="Source Sans Pro" w:cstheme="minorHAnsi"/>
          <w:color w:val="000000" w:themeColor="text1"/>
        </w:rPr>
        <w:t>There is low‐certainty evidence that a skin substitute may slightly reduce time to partial (i.e. greater than 90%) wound healing, compared with a non‐specified antibacterial agent (MD –6.00 days, 95% CI –8.69 to –3.31; 1 study, 34 participants).</w:t>
      </w:r>
    </w:p>
    <w:p w14:paraId="42060182" w14:textId="777B6987" w:rsidR="6086960F" w:rsidRPr="00F71D6C" w:rsidRDefault="6086960F" w:rsidP="00E3294F">
      <w:pPr>
        <w:spacing w:line="240" w:lineRule="auto"/>
        <w:rPr>
          <w:rFonts w:cstheme="minorHAnsi"/>
        </w:rPr>
      </w:pPr>
      <w:r w:rsidRPr="00F71D6C">
        <w:rPr>
          <w:rFonts w:eastAsia="Source Sans Pro" w:cstheme="minorHAnsi"/>
          <w:color w:val="000000" w:themeColor="text1"/>
        </w:rPr>
        <w:t xml:space="preserve">We are uncertain whether skin substitutes in general make any other difference in effects as the evidence is very low certainty. Outcomes included wound infection, pain, </w:t>
      </w:r>
      <w:proofErr w:type="gramStart"/>
      <w:r w:rsidRPr="00F71D6C">
        <w:rPr>
          <w:rFonts w:eastAsia="Source Sans Pro" w:cstheme="minorHAnsi"/>
          <w:color w:val="000000" w:themeColor="text1"/>
        </w:rPr>
        <w:t>scar</w:t>
      </w:r>
      <w:proofErr w:type="gramEnd"/>
      <w:r w:rsidRPr="00F71D6C">
        <w:rPr>
          <w:rFonts w:eastAsia="Source Sans Pro" w:cstheme="minorHAnsi"/>
          <w:color w:val="000000" w:themeColor="text1"/>
        </w:rPr>
        <w:t xml:space="preserve"> quality, adverse effects of treatment and length of hospital stay.</w:t>
      </w:r>
    </w:p>
    <w:p w14:paraId="1FF2907A" w14:textId="02C432CF" w:rsidR="1EEA6176" w:rsidRPr="00F71D6C" w:rsidRDefault="3FC5C796" w:rsidP="00B07ECF">
      <w:pPr>
        <w:spacing w:after="0" w:line="240" w:lineRule="auto"/>
        <w:rPr>
          <w:rFonts w:eastAsia="Source Sans Pro" w:cstheme="minorHAnsi"/>
          <w:b/>
          <w:bCs/>
          <w:color w:val="000000" w:themeColor="text1"/>
        </w:rPr>
      </w:pPr>
      <w:r w:rsidRPr="00F71D6C">
        <w:rPr>
          <w:rFonts w:eastAsia="Source Sans Pro" w:cstheme="minorHAnsi"/>
          <w:b/>
          <w:bCs/>
          <w:color w:val="000000" w:themeColor="text1"/>
        </w:rPr>
        <w:t>Table of included studies</w:t>
      </w:r>
    </w:p>
    <w:tbl>
      <w:tblPr>
        <w:tblW w:w="0" w:type="auto"/>
        <w:tblLook w:val="04A0" w:firstRow="1" w:lastRow="0" w:firstColumn="1" w:lastColumn="0" w:noHBand="0" w:noVBand="1"/>
      </w:tblPr>
      <w:tblGrid>
        <w:gridCol w:w="1322"/>
        <w:gridCol w:w="1379"/>
        <w:gridCol w:w="1475"/>
        <w:gridCol w:w="1923"/>
        <w:gridCol w:w="2486"/>
        <w:gridCol w:w="1862"/>
      </w:tblGrid>
      <w:tr w:rsidR="290496F1" w:rsidRPr="00F71D6C" w14:paraId="0040D50F" w14:textId="77777777" w:rsidTr="008F51C0">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92682E" w14:textId="6C1BBEA6" w:rsidR="290496F1" w:rsidRPr="00F71D6C" w:rsidRDefault="290496F1" w:rsidP="008F51C0">
            <w:pPr>
              <w:spacing w:after="0" w:line="240" w:lineRule="auto"/>
              <w:rPr>
                <w:rFonts w:cstheme="minorHAnsi"/>
              </w:rPr>
            </w:pPr>
            <w:r w:rsidRPr="00F71D6C">
              <w:rPr>
                <w:rFonts w:eastAsia="Times New Roman" w:cstheme="minorHAnsi"/>
                <w:b/>
                <w:bCs/>
                <w:i/>
                <w:iCs/>
              </w:rPr>
              <w:t>Author, date</w:t>
            </w:r>
            <w:r w:rsidRPr="00F71D6C">
              <w:rPr>
                <w:rFonts w:eastAsia="Times New Roman" w:cstheme="minorHAnsi"/>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923D79" w14:textId="62B5F0D9" w:rsidR="290496F1" w:rsidRPr="00F71D6C" w:rsidRDefault="290496F1" w:rsidP="008F51C0">
            <w:pPr>
              <w:spacing w:after="0" w:line="240" w:lineRule="auto"/>
              <w:rPr>
                <w:rFonts w:cstheme="minorHAnsi"/>
              </w:rPr>
            </w:pPr>
            <w:r w:rsidRPr="00F71D6C">
              <w:rPr>
                <w:rFonts w:eastAsia="Times New Roman" w:cstheme="minorHAnsi"/>
                <w:b/>
                <w:bCs/>
                <w:i/>
                <w:iCs/>
              </w:rPr>
              <w:t>Type of study</w:t>
            </w:r>
            <w:r w:rsidRPr="00F71D6C">
              <w:rPr>
                <w:rFonts w:eastAsia="Times New Roman" w:cstheme="minorHAnsi"/>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12F4844" w14:textId="127BC782" w:rsidR="290496F1" w:rsidRPr="00F71D6C" w:rsidRDefault="290496F1" w:rsidP="008F51C0">
            <w:pPr>
              <w:spacing w:after="0" w:line="240" w:lineRule="auto"/>
              <w:rPr>
                <w:rFonts w:cstheme="minorHAnsi"/>
              </w:rPr>
            </w:pPr>
            <w:r w:rsidRPr="00F71D6C">
              <w:rPr>
                <w:rFonts w:eastAsia="Times New Roman" w:cstheme="minorHAnsi"/>
                <w:b/>
                <w:bCs/>
              </w:rPr>
              <w:t>n</w:t>
            </w:r>
            <w:r w:rsidRPr="00F71D6C">
              <w:rPr>
                <w:rFonts w:eastAsia="Times New Roman" w:cstheme="minorHAnsi"/>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1E76913" w14:textId="6C8A2081" w:rsidR="290496F1" w:rsidRPr="00F71D6C" w:rsidRDefault="290496F1" w:rsidP="008F51C0">
            <w:pPr>
              <w:spacing w:after="0" w:line="240" w:lineRule="auto"/>
              <w:rPr>
                <w:rFonts w:cstheme="minorHAnsi"/>
              </w:rPr>
            </w:pPr>
            <w:r w:rsidRPr="00F71D6C">
              <w:rPr>
                <w:rFonts w:eastAsia="Times New Roman" w:cstheme="minorHAnsi"/>
                <w:b/>
                <w:bCs/>
              </w:rPr>
              <w:t>Population</w:t>
            </w:r>
            <w:r w:rsidRPr="00F71D6C">
              <w:rPr>
                <w:rFonts w:eastAsia="Times New Roman" w:cstheme="minorHAnsi"/>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3AFB71" w14:textId="747C0E75" w:rsidR="290496F1" w:rsidRPr="00F71D6C" w:rsidRDefault="290496F1" w:rsidP="008F51C0">
            <w:pPr>
              <w:spacing w:after="0" w:line="240" w:lineRule="auto"/>
              <w:rPr>
                <w:rFonts w:cstheme="minorHAnsi"/>
              </w:rPr>
            </w:pPr>
            <w:r w:rsidRPr="00F71D6C">
              <w:rPr>
                <w:rFonts w:eastAsia="Times New Roman" w:cstheme="minorHAnsi"/>
                <w:b/>
                <w:bCs/>
              </w:rPr>
              <w:t>Comparators</w:t>
            </w:r>
            <w:r w:rsidRPr="00F71D6C">
              <w:rPr>
                <w:rFonts w:eastAsia="Times New Roman" w:cstheme="minorHAnsi"/>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35A301" w14:textId="2C57DD26" w:rsidR="290496F1" w:rsidRPr="00F71D6C" w:rsidRDefault="290496F1" w:rsidP="008F51C0">
            <w:pPr>
              <w:spacing w:after="0" w:line="240" w:lineRule="auto"/>
              <w:rPr>
                <w:rFonts w:cstheme="minorHAnsi"/>
              </w:rPr>
            </w:pPr>
            <w:r w:rsidRPr="00F71D6C">
              <w:rPr>
                <w:rFonts w:eastAsia="Times New Roman" w:cstheme="minorHAnsi"/>
                <w:b/>
                <w:bCs/>
              </w:rPr>
              <w:t>Primary outcome</w:t>
            </w:r>
            <w:r w:rsidRPr="00F71D6C">
              <w:rPr>
                <w:rFonts w:eastAsia="Times New Roman" w:cstheme="minorHAnsi"/>
              </w:rPr>
              <w:t xml:space="preserve"> </w:t>
            </w:r>
          </w:p>
        </w:tc>
      </w:tr>
      <w:tr w:rsidR="290496F1" w:rsidRPr="00F71D6C" w14:paraId="1251C78E" w14:textId="77777777" w:rsidTr="00F71D6C">
        <w:tc>
          <w:tcPr>
            <w:tcW w:w="0" w:type="auto"/>
            <w:tcBorders>
              <w:top w:val="single" w:sz="8" w:space="0" w:color="auto"/>
              <w:left w:val="single" w:sz="8" w:space="0" w:color="auto"/>
              <w:bottom w:val="single" w:sz="8" w:space="0" w:color="auto"/>
              <w:right w:val="single" w:sz="8" w:space="0" w:color="auto"/>
            </w:tcBorders>
          </w:tcPr>
          <w:p w14:paraId="1EF13367" w14:textId="3FB89B38" w:rsidR="290496F1" w:rsidRPr="008F51C0" w:rsidRDefault="00641826" w:rsidP="008F51C0">
            <w:pPr>
              <w:spacing w:after="0" w:line="240" w:lineRule="auto"/>
              <w:rPr>
                <w:rFonts w:cstheme="minorHAnsi"/>
                <w:sz w:val="20"/>
                <w:szCs w:val="20"/>
              </w:rPr>
            </w:pPr>
            <w:hyperlink r:id="rId25">
              <w:proofErr w:type="spellStart"/>
              <w:r w:rsidR="290496F1" w:rsidRPr="008F51C0">
                <w:rPr>
                  <w:rStyle w:val="Hyperlink"/>
                  <w:rFonts w:eastAsia="Calibri" w:cstheme="minorHAnsi"/>
                  <w:b/>
                  <w:bCs/>
                  <w:sz w:val="20"/>
                  <w:szCs w:val="20"/>
                </w:rPr>
                <w:t>Wasiak</w:t>
              </w:r>
              <w:proofErr w:type="spellEnd"/>
              <w:r w:rsidR="290496F1" w:rsidRPr="008F51C0">
                <w:rPr>
                  <w:rStyle w:val="Hyperlink"/>
                  <w:rFonts w:eastAsia="Calibri" w:cstheme="minorHAnsi"/>
                  <w:b/>
                  <w:bCs/>
                  <w:sz w:val="20"/>
                  <w:szCs w:val="20"/>
                </w:rPr>
                <w:t>, 2013</w:t>
              </w:r>
            </w:hyperlink>
            <w:r w:rsidR="290496F1" w:rsidRPr="008F51C0">
              <w:rPr>
                <w:rFonts w:eastAsia="Segoe UI" w:cstheme="minorHAnsi"/>
                <w:sz w:val="20"/>
                <w:szCs w:val="20"/>
                <w:vertAlign w:val="superscript"/>
              </w:rPr>
              <w:t>1</w:t>
            </w:r>
          </w:p>
          <w:p w14:paraId="6C1BB590" w14:textId="3CBF8E11"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 </w:t>
            </w:r>
          </w:p>
          <w:p w14:paraId="02EE1213" w14:textId="458279CE"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(in original review) </w:t>
            </w:r>
          </w:p>
        </w:tc>
        <w:tc>
          <w:tcPr>
            <w:tcW w:w="0" w:type="auto"/>
            <w:tcBorders>
              <w:top w:val="single" w:sz="8" w:space="0" w:color="auto"/>
              <w:left w:val="single" w:sz="8" w:space="0" w:color="auto"/>
              <w:bottom w:val="single" w:sz="8" w:space="0" w:color="auto"/>
              <w:right w:val="single" w:sz="8" w:space="0" w:color="auto"/>
            </w:tcBorders>
          </w:tcPr>
          <w:p w14:paraId="4C349FC8" w14:textId="29CD3D2D"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Cochrane Systematic Review </w:t>
            </w:r>
          </w:p>
        </w:tc>
        <w:tc>
          <w:tcPr>
            <w:tcW w:w="0" w:type="auto"/>
            <w:tcBorders>
              <w:top w:val="single" w:sz="8" w:space="0" w:color="auto"/>
              <w:left w:val="single" w:sz="8" w:space="0" w:color="auto"/>
              <w:bottom w:val="single" w:sz="8" w:space="0" w:color="auto"/>
              <w:right w:val="single" w:sz="8" w:space="0" w:color="auto"/>
            </w:tcBorders>
          </w:tcPr>
          <w:p w14:paraId="3302DE2E" w14:textId="051C1DA0"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30 RCTs, poor quality  </w:t>
            </w:r>
          </w:p>
        </w:tc>
        <w:tc>
          <w:tcPr>
            <w:tcW w:w="0" w:type="auto"/>
            <w:tcBorders>
              <w:top w:val="single" w:sz="8" w:space="0" w:color="auto"/>
              <w:left w:val="single" w:sz="8" w:space="0" w:color="auto"/>
              <w:bottom w:val="single" w:sz="8" w:space="0" w:color="auto"/>
              <w:right w:val="single" w:sz="8" w:space="0" w:color="auto"/>
            </w:tcBorders>
          </w:tcPr>
          <w:p w14:paraId="39AD659B" w14:textId="0DC53CB8"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Any age with superficial or partial thickness burns </w:t>
            </w:r>
          </w:p>
        </w:tc>
        <w:tc>
          <w:tcPr>
            <w:tcW w:w="0" w:type="auto"/>
            <w:tcBorders>
              <w:top w:val="single" w:sz="8" w:space="0" w:color="auto"/>
              <w:left w:val="single" w:sz="8" w:space="0" w:color="auto"/>
              <w:bottom w:val="single" w:sz="8" w:space="0" w:color="auto"/>
              <w:right w:val="single" w:sz="8" w:space="0" w:color="auto"/>
            </w:tcBorders>
          </w:tcPr>
          <w:p w14:paraId="7C703E4A" w14:textId="215079CF"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hydrocolloid dressings; </w:t>
            </w:r>
          </w:p>
          <w:p w14:paraId="49926621" w14:textId="52469BB7"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polyurethane film dressings;</w:t>
            </w:r>
          </w:p>
          <w:p w14:paraId="08665879" w14:textId="515F2393"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hydrogel dressings; </w:t>
            </w:r>
          </w:p>
          <w:p w14:paraId="735F6254" w14:textId="611BDAEB"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silicon‐coated nylon dressings; </w:t>
            </w:r>
          </w:p>
          <w:p w14:paraId="5DA9FEF4" w14:textId="162E5A45"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biosynthetic skin substitute dressings; </w:t>
            </w:r>
          </w:p>
          <w:p w14:paraId="5895F511" w14:textId="2928D745"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antimicrobial (silver and iodine containing) dressings;</w:t>
            </w:r>
          </w:p>
          <w:p w14:paraId="54B58FFE" w14:textId="427CAC7E" w:rsidR="290496F1" w:rsidRPr="008F51C0" w:rsidRDefault="290496F1" w:rsidP="008F51C0">
            <w:pPr>
              <w:spacing w:after="0" w:line="240" w:lineRule="auto"/>
              <w:rPr>
                <w:rFonts w:cstheme="minorHAnsi"/>
                <w:sz w:val="20"/>
                <w:szCs w:val="20"/>
              </w:rPr>
            </w:pPr>
            <w:proofErr w:type="spellStart"/>
            <w:r w:rsidRPr="008F51C0">
              <w:rPr>
                <w:rFonts w:eastAsia="Times New Roman" w:cstheme="minorHAnsi"/>
                <w:sz w:val="20"/>
                <w:szCs w:val="20"/>
              </w:rPr>
              <w:t>fibre</w:t>
            </w:r>
            <w:proofErr w:type="spellEnd"/>
            <w:r w:rsidRPr="008F51C0">
              <w:rPr>
                <w:rFonts w:eastAsia="Times New Roman" w:cstheme="minorHAnsi"/>
                <w:sz w:val="20"/>
                <w:szCs w:val="20"/>
              </w:rPr>
              <w:t xml:space="preserve"> dressings; </w:t>
            </w:r>
          </w:p>
          <w:p w14:paraId="28A7A7FF" w14:textId="3BA5F23A"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wound dressing pads </w:t>
            </w:r>
          </w:p>
        </w:tc>
        <w:tc>
          <w:tcPr>
            <w:tcW w:w="0" w:type="auto"/>
            <w:tcBorders>
              <w:top w:val="single" w:sz="8" w:space="0" w:color="auto"/>
              <w:left w:val="single" w:sz="8" w:space="0" w:color="auto"/>
              <w:bottom w:val="single" w:sz="8" w:space="0" w:color="auto"/>
              <w:right w:val="single" w:sz="8" w:space="0" w:color="auto"/>
            </w:tcBorders>
          </w:tcPr>
          <w:p w14:paraId="45F7103F" w14:textId="4CF76A72"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Time to healing </w:t>
            </w:r>
          </w:p>
          <w:p w14:paraId="7D6C47DE" w14:textId="441EACDF"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No of dressings </w:t>
            </w:r>
          </w:p>
          <w:p w14:paraId="47397227" w14:textId="32DFD49F"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Pain </w:t>
            </w:r>
          </w:p>
          <w:p w14:paraId="34C7203D" w14:textId="6D0A862C"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QOL </w:t>
            </w:r>
          </w:p>
          <w:p w14:paraId="6741AFEF" w14:textId="10E10F6F"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LOS </w:t>
            </w:r>
          </w:p>
          <w:p w14:paraId="2B956194" w14:textId="0D6809D1"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Infection </w:t>
            </w:r>
          </w:p>
          <w:p w14:paraId="758C0B87" w14:textId="43B5AEB9"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AE </w:t>
            </w:r>
          </w:p>
        </w:tc>
      </w:tr>
      <w:tr w:rsidR="290496F1" w:rsidRPr="00F71D6C" w14:paraId="70FAEDC5" w14:textId="77777777" w:rsidTr="00F71D6C">
        <w:tc>
          <w:tcPr>
            <w:tcW w:w="0" w:type="auto"/>
            <w:tcBorders>
              <w:top w:val="single" w:sz="8" w:space="0" w:color="auto"/>
              <w:left w:val="single" w:sz="8" w:space="0" w:color="auto"/>
              <w:bottom w:val="single" w:sz="8" w:space="0" w:color="auto"/>
              <w:right w:val="single" w:sz="8" w:space="0" w:color="auto"/>
            </w:tcBorders>
          </w:tcPr>
          <w:p w14:paraId="60612FBB" w14:textId="3129F12F" w:rsidR="290496F1" w:rsidRPr="008F51C0" w:rsidRDefault="00641826" w:rsidP="008F51C0">
            <w:pPr>
              <w:spacing w:after="0" w:line="240" w:lineRule="auto"/>
              <w:rPr>
                <w:rFonts w:cstheme="minorHAnsi"/>
                <w:sz w:val="20"/>
                <w:szCs w:val="20"/>
              </w:rPr>
            </w:pPr>
            <w:hyperlink r:id="rId26">
              <w:r w:rsidR="290496F1" w:rsidRPr="008F51C0">
                <w:rPr>
                  <w:rStyle w:val="Hyperlink"/>
                  <w:rFonts w:eastAsia="Segoe UI" w:cstheme="minorHAnsi"/>
                  <w:sz w:val="20"/>
                  <w:szCs w:val="20"/>
                </w:rPr>
                <w:t>Barajas-</w:t>
              </w:r>
              <w:proofErr w:type="spellStart"/>
              <w:r w:rsidR="290496F1" w:rsidRPr="008F51C0">
                <w:rPr>
                  <w:rStyle w:val="Hyperlink"/>
                  <w:rFonts w:eastAsia="Segoe UI" w:cstheme="minorHAnsi"/>
                  <w:sz w:val="20"/>
                  <w:szCs w:val="20"/>
                </w:rPr>
                <w:t>Navam</w:t>
              </w:r>
              <w:proofErr w:type="spellEnd"/>
              <w:r w:rsidR="290496F1" w:rsidRPr="008F51C0">
                <w:rPr>
                  <w:rStyle w:val="Hyperlink"/>
                  <w:rFonts w:eastAsia="Segoe UI" w:cstheme="minorHAnsi"/>
                  <w:sz w:val="20"/>
                  <w:szCs w:val="20"/>
                </w:rPr>
                <w:t xml:space="preserve"> 2013</w:t>
              </w:r>
            </w:hyperlink>
            <w:r w:rsidR="290496F1" w:rsidRPr="008F51C0">
              <w:rPr>
                <w:rFonts w:eastAsia="Segoe UI" w:cstheme="minorHAnsi"/>
                <w:sz w:val="20"/>
                <w:szCs w:val="20"/>
                <w:vertAlign w:val="superscript"/>
              </w:rPr>
              <w:t>2</w:t>
            </w:r>
          </w:p>
          <w:p w14:paraId="038BF22E" w14:textId="15DB5101" w:rsidR="290496F1" w:rsidRPr="008F51C0" w:rsidRDefault="290496F1" w:rsidP="008F51C0">
            <w:pPr>
              <w:spacing w:after="0" w:line="240" w:lineRule="auto"/>
              <w:rPr>
                <w:rFonts w:cstheme="minorHAnsi"/>
                <w:sz w:val="20"/>
                <w:szCs w:val="20"/>
              </w:rPr>
            </w:pPr>
            <w:r w:rsidRPr="008F51C0">
              <w:rPr>
                <w:rFonts w:eastAsia="Segoe UI" w:cstheme="minorHAnsi"/>
                <w:sz w:val="20"/>
                <w:szCs w:val="20"/>
              </w:rPr>
              <w:t xml:space="preserve"> </w:t>
            </w:r>
          </w:p>
          <w:p w14:paraId="5CFA5262" w14:textId="4B8D37CD"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(in original review) </w:t>
            </w:r>
          </w:p>
        </w:tc>
        <w:tc>
          <w:tcPr>
            <w:tcW w:w="0" w:type="auto"/>
            <w:tcBorders>
              <w:top w:val="single" w:sz="8" w:space="0" w:color="auto"/>
              <w:left w:val="single" w:sz="8" w:space="0" w:color="auto"/>
              <w:bottom w:val="single" w:sz="8" w:space="0" w:color="auto"/>
              <w:right w:val="single" w:sz="8" w:space="0" w:color="auto"/>
            </w:tcBorders>
          </w:tcPr>
          <w:p w14:paraId="10E481AB" w14:textId="625BBD29"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Cochrane Systematic Review </w:t>
            </w:r>
          </w:p>
        </w:tc>
        <w:tc>
          <w:tcPr>
            <w:tcW w:w="0" w:type="auto"/>
            <w:tcBorders>
              <w:top w:val="single" w:sz="8" w:space="0" w:color="auto"/>
              <w:left w:val="single" w:sz="8" w:space="0" w:color="auto"/>
              <w:bottom w:val="single" w:sz="8" w:space="0" w:color="auto"/>
              <w:right w:val="single" w:sz="8" w:space="0" w:color="auto"/>
            </w:tcBorders>
          </w:tcPr>
          <w:p w14:paraId="4482015C" w14:textId="0AC8F585"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36 RCTs (2117 participants)</w:t>
            </w:r>
          </w:p>
        </w:tc>
        <w:tc>
          <w:tcPr>
            <w:tcW w:w="0" w:type="auto"/>
            <w:tcBorders>
              <w:top w:val="single" w:sz="8" w:space="0" w:color="auto"/>
              <w:left w:val="single" w:sz="8" w:space="0" w:color="auto"/>
              <w:bottom w:val="single" w:sz="8" w:space="0" w:color="auto"/>
              <w:right w:val="single" w:sz="8" w:space="0" w:color="auto"/>
            </w:tcBorders>
          </w:tcPr>
          <w:p w14:paraId="51C15C71" w14:textId="36211646"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People of any age or gender, with any type of burn injury</w:t>
            </w:r>
          </w:p>
        </w:tc>
        <w:tc>
          <w:tcPr>
            <w:tcW w:w="0" w:type="auto"/>
            <w:tcBorders>
              <w:top w:val="single" w:sz="8" w:space="0" w:color="auto"/>
              <w:left w:val="single" w:sz="8" w:space="0" w:color="auto"/>
              <w:bottom w:val="single" w:sz="8" w:space="0" w:color="auto"/>
              <w:right w:val="single" w:sz="8" w:space="0" w:color="auto"/>
            </w:tcBorders>
          </w:tcPr>
          <w:p w14:paraId="20DE8098" w14:textId="182EA72D"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Systemic antibiotics given orally or parenterally</w:t>
            </w:r>
          </w:p>
          <w:p w14:paraId="03407A8D" w14:textId="1BDDDB22" w:rsidR="290496F1" w:rsidRPr="008F51C0" w:rsidRDefault="290496F1" w:rsidP="008F51C0">
            <w:pPr>
              <w:spacing w:after="0" w:line="240" w:lineRule="auto"/>
              <w:rPr>
                <w:rFonts w:cstheme="minorHAnsi"/>
                <w:sz w:val="20"/>
                <w:szCs w:val="20"/>
              </w:rPr>
            </w:pPr>
            <w:r w:rsidRPr="008F51C0">
              <w:rPr>
                <w:rFonts w:eastAsia="Source Sans Pro" w:cstheme="minorHAnsi"/>
                <w:color w:val="000000" w:themeColor="text1"/>
                <w:sz w:val="20"/>
                <w:szCs w:val="20"/>
              </w:rPr>
              <w:t>Selective intestinal decontamination with antibiotics</w:t>
            </w:r>
          </w:p>
          <w:p w14:paraId="78874057" w14:textId="4634F566" w:rsidR="290496F1" w:rsidRPr="008F51C0" w:rsidRDefault="290496F1" w:rsidP="008F51C0">
            <w:pPr>
              <w:spacing w:after="0" w:line="240" w:lineRule="auto"/>
              <w:rPr>
                <w:rFonts w:cstheme="minorHAnsi"/>
                <w:sz w:val="20"/>
                <w:szCs w:val="20"/>
              </w:rPr>
            </w:pPr>
            <w:r w:rsidRPr="008F51C0">
              <w:rPr>
                <w:rFonts w:eastAsia="Source Sans Pro" w:cstheme="minorHAnsi"/>
                <w:b/>
                <w:bCs/>
                <w:color w:val="000000" w:themeColor="text1"/>
                <w:sz w:val="20"/>
                <w:szCs w:val="20"/>
              </w:rPr>
              <w:t>Topical antibiotics, such as topical antimicrobial dressings or ointments</w:t>
            </w:r>
          </w:p>
          <w:p w14:paraId="0B880D6C" w14:textId="6B0E8341" w:rsidR="290496F1" w:rsidRPr="008F51C0" w:rsidRDefault="290496F1" w:rsidP="008F51C0">
            <w:pPr>
              <w:spacing w:after="0" w:line="240" w:lineRule="auto"/>
              <w:rPr>
                <w:rFonts w:cstheme="minorHAnsi"/>
                <w:sz w:val="20"/>
                <w:szCs w:val="20"/>
              </w:rPr>
            </w:pPr>
            <w:r w:rsidRPr="008F51C0">
              <w:rPr>
                <w:rFonts w:eastAsia="Source Sans Pro" w:cstheme="minorHAnsi"/>
                <w:color w:val="000000" w:themeColor="text1"/>
                <w:sz w:val="20"/>
                <w:szCs w:val="20"/>
              </w:rPr>
              <w:t xml:space="preserve">Local airway prophylaxis, such as </w:t>
            </w:r>
            <w:proofErr w:type="spellStart"/>
            <w:r w:rsidRPr="008F51C0">
              <w:rPr>
                <w:rFonts w:eastAsia="Source Sans Pro" w:cstheme="minorHAnsi"/>
                <w:color w:val="000000" w:themeColor="text1"/>
                <w:sz w:val="20"/>
                <w:szCs w:val="20"/>
              </w:rPr>
              <w:t>aerosolised</w:t>
            </w:r>
            <w:proofErr w:type="spellEnd"/>
            <w:r w:rsidRPr="008F51C0">
              <w:rPr>
                <w:rFonts w:eastAsia="Source Sans Pro" w:cstheme="minorHAnsi"/>
                <w:color w:val="000000" w:themeColor="text1"/>
                <w:sz w:val="20"/>
                <w:szCs w:val="20"/>
              </w:rPr>
              <w:t xml:space="preserve"> antibiotics.</w:t>
            </w:r>
          </w:p>
          <w:p w14:paraId="7FB08266" w14:textId="194CED87"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5278173E" w14:textId="5BA3B42D" w:rsidR="290496F1" w:rsidRPr="008F51C0" w:rsidRDefault="290496F1" w:rsidP="008F51C0">
            <w:pPr>
              <w:spacing w:after="0" w:line="240" w:lineRule="auto"/>
              <w:rPr>
                <w:rFonts w:cstheme="minorHAnsi"/>
                <w:sz w:val="20"/>
                <w:szCs w:val="20"/>
              </w:rPr>
            </w:pPr>
            <w:r w:rsidRPr="008F51C0">
              <w:rPr>
                <w:rFonts w:eastAsia="Source Sans Pro" w:cstheme="minorHAnsi"/>
                <w:color w:val="000000" w:themeColor="text1"/>
                <w:sz w:val="20"/>
                <w:szCs w:val="20"/>
              </w:rPr>
              <w:t>Burn wound infection</w:t>
            </w:r>
          </w:p>
          <w:p w14:paraId="5AED9793" w14:textId="4349BC35" w:rsidR="290496F1" w:rsidRPr="008F51C0" w:rsidRDefault="290496F1" w:rsidP="008F51C0">
            <w:pPr>
              <w:spacing w:after="0" w:line="240" w:lineRule="auto"/>
              <w:rPr>
                <w:rFonts w:cstheme="minorHAnsi"/>
                <w:sz w:val="20"/>
                <w:szCs w:val="20"/>
              </w:rPr>
            </w:pPr>
            <w:r w:rsidRPr="008F51C0">
              <w:rPr>
                <w:rFonts w:eastAsia="Source Sans Pro" w:cstheme="minorHAnsi"/>
                <w:color w:val="000000" w:themeColor="text1"/>
                <w:sz w:val="20"/>
                <w:szCs w:val="20"/>
              </w:rPr>
              <w:t>Invasive infection</w:t>
            </w:r>
          </w:p>
          <w:p w14:paraId="4DD8C318" w14:textId="7114DA88" w:rsidR="290496F1" w:rsidRPr="008F51C0" w:rsidRDefault="290496F1" w:rsidP="008F51C0">
            <w:pPr>
              <w:spacing w:after="0" w:line="240" w:lineRule="auto"/>
              <w:rPr>
                <w:rFonts w:cstheme="minorHAnsi"/>
                <w:sz w:val="20"/>
                <w:szCs w:val="20"/>
              </w:rPr>
            </w:pPr>
            <w:r w:rsidRPr="008F51C0">
              <w:rPr>
                <w:rFonts w:eastAsia="Source Sans Pro" w:cstheme="minorHAnsi"/>
                <w:color w:val="000000" w:themeColor="text1"/>
                <w:sz w:val="20"/>
                <w:szCs w:val="20"/>
              </w:rPr>
              <w:t>Infection</w:t>
            </w:r>
            <w:r w:rsidRPr="008F51C0">
              <w:rPr>
                <w:rFonts w:eastAsia="Cambria Math" w:cstheme="minorHAnsi"/>
                <w:color w:val="000000" w:themeColor="text1"/>
                <w:sz w:val="20"/>
                <w:szCs w:val="20"/>
              </w:rPr>
              <w:t>‐</w:t>
            </w:r>
            <w:r w:rsidRPr="008F51C0">
              <w:rPr>
                <w:rFonts w:eastAsia="Source Sans Pro" w:cstheme="minorHAnsi"/>
                <w:color w:val="000000" w:themeColor="text1"/>
                <w:sz w:val="20"/>
                <w:szCs w:val="20"/>
              </w:rPr>
              <w:t>related mortality</w:t>
            </w:r>
          </w:p>
          <w:p w14:paraId="266E72AD" w14:textId="0F515254" w:rsidR="290496F1" w:rsidRPr="008F51C0" w:rsidRDefault="290496F1" w:rsidP="008F51C0">
            <w:pPr>
              <w:spacing w:after="0" w:line="240" w:lineRule="auto"/>
              <w:rPr>
                <w:rFonts w:cstheme="minorHAnsi"/>
                <w:sz w:val="20"/>
                <w:szCs w:val="20"/>
              </w:rPr>
            </w:pPr>
            <w:r w:rsidRPr="008F51C0">
              <w:rPr>
                <w:rFonts w:eastAsia="Source Sans Pro" w:cstheme="minorHAnsi"/>
                <w:color w:val="000000" w:themeColor="text1"/>
                <w:sz w:val="20"/>
                <w:szCs w:val="20"/>
              </w:rPr>
              <w:t>Adverse events</w:t>
            </w:r>
          </w:p>
          <w:p w14:paraId="139F6552" w14:textId="3CAB740F" w:rsidR="290496F1" w:rsidRPr="008F51C0" w:rsidRDefault="290496F1" w:rsidP="008F51C0">
            <w:pPr>
              <w:spacing w:after="0" w:line="240" w:lineRule="auto"/>
              <w:rPr>
                <w:rFonts w:cstheme="minorHAnsi"/>
                <w:sz w:val="20"/>
                <w:szCs w:val="20"/>
              </w:rPr>
            </w:pPr>
            <w:r w:rsidRPr="008F51C0">
              <w:rPr>
                <w:rFonts w:eastAsia="Source Sans Pro" w:cstheme="minorHAnsi"/>
                <w:color w:val="000000" w:themeColor="text1"/>
                <w:sz w:val="20"/>
                <w:szCs w:val="20"/>
              </w:rPr>
              <w:t>wound healing rate</w:t>
            </w:r>
          </w:p>
          <w:p w14:paraId="2B805041" w14:textId="25D48F43" w:rsidR="290496F1" w:rsidRPr="008F51C0" w:rsidRDefault="290496F1" w:rsidP="008F51C0">
            <w:pPr>
              <w:spacing w:after="0" w:line="240" w:lineRule="auto"/>
              <w:rPr>
                <w:rFonts w:cstheme="minorHAnsi"/>
                <w:sz w:val="20"/>
                <w:szCs w:val="20"/>
              </w:rPr>
            </w:pPr>
            <w:r w:rsidRPr="008F51C0">
              <w:rPr>
                <w:rFonts w:eastAsia="Source Sans Pro" w:cstheme="minorHAnsi"/>
                <w:color w:val="000000" w:themeColor="text1"/>
                <w:sz w:val="20"/>
                <w:szCs w:val="20"/>
              </w:rPr>
              <w:t>Antibiotic resistance</w:t>
            </w:r>
          </w:p>
          <w:p w14:paraId="247944C2" w14:textId="25FC87B4" w:rsidR="290496F1" w:rsidRPr="008F51C0" w:rsidRDefault="290496F1" w:rsidP="008F51C0">
            <w:pPr>
              <w:spacing w:after="0" w:line="240" w:lineRule="auto"/>
              <w:rPr>
                <w:rFonts w:cstheme="minorHAnsi"/>
                <w:sz w:val="20"/>
                <w:szCs w:val="20"/>
              </w:rPr>
            </w:pPr>
            <w:r w:rsidRPr="008F51C0">
              <w:rPr>
                <w:rFonts w:eastAsia="Source Sans Pro" w:cstheme="minorHAnsi"/>
                <w:color w:val="000000" w:themeColor="text1"/>
                <w:sz w:val="20"/>
                <w:szCs w:val="20"/>
              </w:rPr>
              <w:t xml:space="preserve"> All</w:t>
            </w:r>
            <w:r w:rsidRPr="008F51C0">
              <w:rPr>
                <w:rFonts w:eastAsia="Cambria Math" w:cstheme="minorHAnsi"/>
                <w:color w:val="000000" w:themeColor="text1"/>
                <w:sz w:val="20"/>
                <w:szCs w:val="20"/>
              </w:rPr>
              <w:t>‐</w:t>
            </w:r>
            <w:r w:rsidRPr="008F51C0">
              <w:rPr>
                <w:rFonts w:eastAsia="Source Sans Pro" w:cstheme="minorHAnsi"/>
                <w:color w:val="000000" w:themeColor="text1"/>
                <w:sz w:val="20"/>
                <w:szCs w:val="20"/>
              </w:rPr>
              <w:t>cause mortality</w:t>
            </w:r>
          </w:p>
          <w:p w14:paraId="3591C4F5" w14:textId="7AA64C18" w:rsidR="290496F1" w:rsidRPr="008F51C0" w:rsidRDefault="290496F1" w:rsidP="008F51C0">
            <w:pPr>
              <w:spacing w:after="0" w:line="240" w:lineRule="auto"/>
              <w:rPr>
                <w:rFonts w:cstheme="minorHAnsi"/>
                <w:sz w:val="20"/>
                <w:szCs w:val="20"/>
              </w:rPr>
            </w:pPr>
            <w:r w:rsidRPr="008F51C0">
              <w:rPr>
                <w:rFonts w:eastAsia="Source Sans Pro" w:cstheme="minorHAnsi"/>
                <w:color w:val="000000" w:themeColor="text1"/>
                <w:sz w:val="20"/>
                <w:szCs w:val="20"/>
              </w:rPr>
              <w:t>LOS</w:t>
            </w:r>
          </w:p>
        </w:tc>
      </w:tr>
      <w:tr w:rsidR="290496F1" w:rsidRPr="00F71D6C" w14:paraId="10BAFCE5" w14:textId="77777777" w:rsidTr="00F71D6C">
        <w:tc>
          <w:tcPr>
            <w:tcW w:w="0" w:type="auto"/>
            <w:tcBorders>
              <w:top w:val="single" w:sz="8" w:space="0" w:color="auto"/>
              <w:left w:val="single" w:sz="8" w:space="0" w:color="auto"/>
              <w:bottom w:val="single" w:sz="8" w:space="0" w:color="auto"/>
              <w:right w:val="single" w:sz="8" w:space="0" w:color="auto"/>
            </w:tcBorders>
          </w:tcPr>
          <w:p w14:paraId="7903E341" w14:textId="5ADF86A3" w:rsidR="290496F1" w:rsidRPr="008F51C0" w:rsidRDefault="00641826" w:rsidP="008F51C0">
            <w:pPr>
              <w:spacing w:after="0" w:line="240" w:lineRule="auto"/>
              <w:rPr>
                <w:rFonts w:cstheme="minorHAnsi"/>
                <w:sz w:val="20"/>
                <w:szCs w:val="20"/>
              </w:rPr>
            </w:pPr>
            <w:hyperlink r:id="rId27">
              <w:proofErr w:type="spellStart"/>
              <w:r w:rsidR="290496F1" w:rsidRPr="008F51C0">
                <w:rPr>
                  <w:rStyle w:val="Hyperlink"/>
                  <w:rFonts w:eastAsia="Segoe UI" w:cstheme="minorHAnsi"/>
                  <w:sz w:val="20"/>
                  <w:szCs w:val="20"/>
                </w:rPr>
                <w:t>Nimia</w:t>
              </w:r>
              <w:proofErr w:type="spellEnd"/>
              <w:r w:rsidR="290496F1" w:rsidRPr="008F51C0">
                <w:rPr>
                  <w:rStyle w:val="Hyperlink"/>
                  <w:rFonts w:eastAsia="Segoe UI" w:cstheme="minorHAnsi"/>
                  <w:sz w:val="20"/>
                  <w:szCs w:val="20"/>
                </w:rPr>
                <w:t>, 2019</w:t>
              </w:r>
            </w:hyperlink>
            <w:r w:rsidR="290496F1" w:rsidRPr="008F51C0">
              <w:rPr>
                <w:rFonts w:eastAsia="Segoe UI" w:cstheme="minorHAnsi"/>
                <w:sz w:val="20"/>
                <w:szCs w:val="20"/>
                <w:vertAlign w:val="superscript"/>
              </w:rPr>
              <w:t>3</w:t>
            </w:r>
          </w:p>
        </w:tc>
        <w:tc>
          <w:tcPr>
            <w:tcW w:w="0" w:type="auto"/>
            <w:tcBorders>
              <w:top w:val="single" w:sz="8" w:space="0" w:color="auto"/>
              <w:left w:val="single" w:sz="8" w:space="0" w:color="auto"/>
              <w:bottom w:val="single" w:sz="8" w:space="0" w:color="auto"/>
              <w:right w:val="single" w:sz="8" w:space="0" w:color="auto"/>
            </w:tcBorders>
          </w:tcPr>
          <w:p w14:paraId="6585A5BF" w14:textId="42181685"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Systematic Review</w:t>
            </w:r>
          </w:p>
        </w:tc>
        <w:tc>
          <w:tcPr>
            <w:tcW w:w="0" w:type="auto"/>
            <w:tcBorders>
              <w:top w:val="single" w:sz="8" w:space="0" w:color="auto"/>
              <w:left w:val="single" w:sz="8" w:space="0" w:color="auto"/>
              <w:bottom w:val="single" w:sz="8" w:space="0" w:color="auto"/>
              <w:right w:val="single" w:sz="8" w:space="0" w:color="auto"/>
            </w:tcBorders>
          </w:tcPr>
          <w:p w14:paraId="47C54597" w14:textId="3E6FBA24"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24 RCTs</w:t>
            </w:r>
          </w:p>
          <w:p w14:paraId="2A7EA611" w14:textId="4B0FB12F"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 </w:t>
            </w:r>
          </w:p>
          <w:p w14:paraId="1F343380" w14:textId="7913EE53"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Low to unclear ROB</w:t>
            </w:r>
          </w:p>
        </w:tc>
        <w:tc>
          <w:tcPr>
            <w:tcW w:w="0" w:type="auto"/>
            <w:tcBorders>
              <w:top w:val="single" w:sz="8" w:space="0" w:color="auto"/>
              <w:left w:val="single" w:sz="8" w:space="0" w:color="auto"/>
              <w:bottom w:val="single" w:sz="8" w:space="0" w:color="auto"/>
              <w:right w:val="single" w:sz="8" w:space="0" w:color="auto"/>
            </w:tcBorders>
          </w:tcPr>
          <w:p w14:paraId="35E3EC20" w14:textId="2C216D88"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People with burns</w:t>
            </w:r>
          </w:p>
        </w:tc>
        <w:tc>
          <w:tcPr>
            <w:tcW w:w="0" w:type="auto"/>
            <w:tcBorders>
              <w:top w:val="single" w:sz="8" w:space="0" w:color="auto"/>
              <w:left w:val="single" w:sz="8" w:space="0" w:color="auto"/>
              <w:bottom w:val="single" w:sz="8" w:space="0" w:color="auto"/>
              <w:right w:val="single" w:sz="8" w:space="0" w:color="auto"/>
            </w:tcBorders>
          </w:tcPr>
          <w:p w14:paraId="3A7EB7D0" w14:textId="455B80F2"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 SSD vs other dressings (with or without silver)</w:t>
            </w:r>
          </w:p>
        </w:tc>
        <w:tc>
          <w:tcPr>
            <w:tcW w:w="0" w:type="auto"/>
            <w:tcBorders>
              <w:top w:val="single" w:sz="8" w:space="0" w:color="auto"/>
              <w:left w:val="single" w:sz="8" w:space="0" w:color="auto"/>
              <w:bottom w:val="single" w:sz="8" w:space="0" w:color="auto"/>
              <w:right w:val="single" w:sz="8" w:space="0" w:color="auto"/>
            </w:tcBorders>
          </w:tcPr>
          <w:p w14:paraId="05774C50" w14:textId="40187508"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Infection control and wound healing</w:t>
            </w:r>
          </w:p>
        </w:tc>
      </w:tr>
      <w:tr w:rsidR="290496F1" w:rsidRPr="00F71D6C" w14:paraId="42158E45" w14:textId="77777777" w:rsidTr="00F71D6C">
        <w:tc>
          <w:tcPr>
            <w:tcW w:w="0" w:type="auto"/>
            <w:tcBorders>
              <w:top w:val="single" w:sz="8" w:space="0" w:color="auto"/>
              <w:left w:val="single" w:sz="8" w:space="0" w:color="auto"/>
              <w:bottom w:val="single" w:sz="8" w:space="0" w:color="auto"/>
              <w:right w:val="single" w:sz="8" w:space="0" w:color="auto"/>
            </w:tcBorders>
          </w:tcPr>
          <w:p w14:paraId="2677AA78" w14:textId="663357E9" w:rsidR="290496F1" w:rsidRPr="008F51C0" w:rsidRDefault="00641826" w:rsidP="008F51C0">
            <w:pPr>
              <w:spacing w:after="0" w:line="240" w:lineRule="auto"/>
              <w:rPr>
                <w:rFonts w:cstheme="minorHAnsi"/>
                <w:sz w:val="20"/>
                <w:szCs w:val="20"/>
              </w:rPr>
            </w:pPr>
            <w:hyperlink r:id="rId28">
              <w:proofErr w:type="spellStart"/>
              <w:r w:rsidR="290496F1" w:rsidRPr="008F51C0">
                <w:rPr>
                  <w:rStyle w:val="Hyperlink"/>
                  <w:rFonts w:eastAsia="Segoe UI" w:cstheme="minorHAnsi"/>
                  <w:sz w:val="20"/>
                  <w:szCs w:val="20"/>
                </w:rPr>
                <w:t>Marciel</w:t>
              </w:r>
              <w:proofErr w:type="spellEnd"/>
              <w:r w:rsidR="290496F1" w:rsidRPr="008F51C0">
                <w:rPr>
                  <w:rStyle w:val="Hyperlink"/>
                  <w:rFonts w:eastAsia="Segoe UI" w:cstheme="minorHAnsi"/>
                  <w:sz w:val="20"/>
                  <w:szCs w:val="20"/>
                </w:rPr>
                <w:t>, 2019</w:t>
              </w:r>
            </w:hyperlink>
            <w:r w:rsidR="290496F1" w:rsidRPr="008F51C0">
              <w:rPr>
                <w:rFonts w:eastAsia="Segoe UI" w:cstheme="minorHAnsi"/>
                <w:sz w:val="20"/>
                <w:szCs w:val="20"/>
                <w:vertAlign w:val="superscript"/>
              </w:rPr>
              <w:t>4</w:t>
            </w:r>
          </w:p>
        </w:tc>
        <w:tc>
          <w:tcPr>
            <w:tcW w:w="0" w:type="auto"/>
            <w:tcBorders>
              <w:top w:val="single" w:sz="8" w:space="0" w:color="auto"/>
              <w:left w:val="single" w:sz="8" w:space="0" w:color="auto"/>
              <w:bottom w:val="single" w:sz="8" w:space="0" w:color="auto"/>
              <w:right w:val="single" w:sz="8" w:space="0" w:color="auto"/>
            </w:tcBorders>
          </w:tcPr>
          <w:p w14:paraId="31504BD8" w14:textId="41382C73"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Systematic Review</w:t>
            </w:r>
          </w:p>
        </w:tc>
        <w:tc>
          <w:tcPr>
            <w:tcW w:w="0" w:type="auto"/>
            <w:tcBorders>
              <w:top w:val="single" w:sz="8" w:space="0" w:color="auto"/>
              <w:left w:val="single" w:sz="8" w:space="0" w:color="auto"/>
              <w:bottom w:val="single" w:sz="8" w:space="0" w:color="auto"/>
              <w:right w:val="single" w:sz="8" w:space="0" w:color="auto"/>
            </w:tcBorders>
          </w:tcPr>
          <w:p w14:paraId="73E0C729" w14:textId="66BED1B9"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11 RCTS</w:t>
            </w:r>
          </w:p>
        </w:tc>
        <w:tc>
          <w:tcPr>
            <w:tcW w:w="0" w:type="auto"/>
            <w:tcBorders>
              <w:top w:val="single" w:sz="8" w:space="0" w:color="auto"/>
              <w:left w:val="single" w:sz="8" w:space="0" w:color="auto"/>
              <w:bottom w:val="single" w:sz="8" w:space="0" w:color="auto"/>
              <w:right w:val="single" w:sz="8" w:space="0" w:color="auto"/>
            </w:tcBorders>
          </w:tcPr>
          <w:p w14:paraId="47C7EDF3" w14:textId="38755CCF"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Burn patients hospitalized in the burn ward</w:t>
            </w:r>
          </w:p>
        </w:tc>
        <w:tc>
          <w:tcPr>
            <w:tcW w:w="0" w:type="auto"/>
            <w:tcBorders>
              <w:top w:val="single" w:sz="8" w:space="0" w:color="auto"/>
              <w:left w:val="single" w:sz="8" w:space="0" w:color="auto"/>
              <w:bottom w:val="single" w:sz="8" w:space="0" w:color="auto"/>
              <w:right w:val="single" w:sz="8" w:space="0" w:color="auto"/>
            </w:tcBorders>
          </w:tcPr>
          <w:p w14:paraId="77F15A83" w14:textId="47EDF32F"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New treatments vs SSD</w:t>
            </w:r>
          </w:p>
        </w:tc>
        <w:tc>
          <w:tcPr>
            <w:tcW w:w="0" w:type="auto"/>
            <w:tcBorders>
              <w:top w:val="single" w:sz="8" w:space="0" w:color="auto"/>
              <w:left w:val="single" w:sz="8" w:space="0" w:color="auto"/>
              <w:bottom w:val="single" w:sz="8" w:space="0" w:color="auto"/>
              <w:right w:val="single" w:sz="8" w:space="0" w:color="auto"/>
            </w:tcBorders>
          </w:tcPr>
          <w:p w14:paraId="1734C40C" w14:textId="69743719"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Complete healing</w:t>
            </w:r>
          </w:p>
        </w:tc>
      </w:tr>
      <w:tr w:rsidR="290496F1" w:rsidRPr="00F71D6C" w14:paraId="6347FB64" w14:textId="77777777" w:rsidTr="00F71D6C">
        <w:tc>
          <w:tcPr>
            <w:tcW w:w="0" w:type="auto"/>
            <w:tcBorders>
              <w:top w:val="single" w:sz="8" w:space="0" w:color="auto"/>
              <w:left w:val="single" w:sz="8" w:space="0" w:color="auto"/>
              <w:bottom w:val="single" w:sz="8" w:space="0" w:color="auto"/>
              <w:right w:val="single" w:sz="8" w:space="0" w:color="auto"/>
            </w:tcBorders>
          </w:tcPr>
          <w:p w14:paraId="1F8C7FED" w14:textId="7A3EB77D" w:rsidR="290496F1" w:rsidRPr="008F51C0" w:rsidRDefault="00641826" w:rsidP="008F51C0">
            <w:pPr>
              <w:spacing w:after="0" w:line="240" w:lineRule="auto"/>
              <w:rPr>
                <w:rFonts w:cstheme="minorHAnsi"/>
                <w:sz w:val="20"/>
                <w:szCs w:val="20"/>
              </w:rPr>
            </w:pPr>
            <w:hyperlink r:id="rId29">
              <w:proofErr w:type="spellStart"/>
              <w:r w:rsidR="290496F1" w:rsidRPr="008F51C0">
                <w:rPr>
                  <w:rStyle w:val="Hyperlink"/>
                  <w:rFonts w:eastAsia="Segoe UI" w:cstheme="minorHAnsi"/>
                  <w:sz w:val="20"/>
                  <w:szCs w:val="20"/>
                </w:rPr>
                <w:t>Chaganti</w:t>
              </w:r>
              <w:proofErr w:type="spellEnd"/>
              <w:r w:rsidR="290496F1" w:rsidRPr="008F51C0">
                <w:rPr>
                  <w:rStyle w:val="Hyperlink"/>
                  <w:rFonts w:eastAsia="Segoe UI" w:cstheme="minorHAnsi"/>
                  <w:sz w:val="20"/>
                  <w:szCs w:val="20"/>
                </w:rPr>
                <w:t>, 2019</w:t>
              </w:r>
            </w:hyperlink>
            <w:r w:rsidR="290496F1" w:rsidRPr="008F51C0">
              <w:rPr>
                <w:rFonts w:eastAsia="Segoe UI" w:cstheme="minorHAnsi"/>
                <w:sz w:val="20"/>
                <w:szCs w:val="20"/>
                <w:vertAlign w:val="superscript"/>
              </w:rPr>
              <w:t>5</w:t>
            </w:r>
          </w:p>
        </w:tc>
        <w:tc>
          <w:tcPr>
            <w:tcW w:w="0" w:type="auto"/>
            <w:tcBorders>
              <w:top w:val="single" w:sz="8" w:space="0" w:color="auto"/>
              <w:left w:val="single" w:sz="8" w:space="0" w:color="auto"/>
              <w:bottom w:val="single" w:sz="8" w:space="0" w:color="auto"/>
              <w:right w:val="single" w:sz="8" w:space="0" w:color="auto"/>
            </w:tcBorders>
          </w:tcPr>
          <w:p w14:paraId="7DA98DD9" w14:textId="328D2780"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Systematic Review</w:t>
            </w:r>
          </w:p>
        </w:tc>
        <w:tc>
          <w:tcPr>
            <w:tcW w:w="0" w:type="auto"/>
            <w:tcBorders>
              <w:top w:val="single" w:sz="8" w:space="0" w:color="auto"/>
              <w:left w:val="single" w:sz="8" w:space="0" w:color="auto"/>
              <w:bottom w:val="single" w:sz="8" w:space="0" w:color="auto"/>
              <w:right w:val="single" w:sz="8" w:space="0" w:color="auto"/>
            </w:tcBorders>
          </w:tcPr>
          <w:p w14:paraId="21107DC5" w14:textId="4D022003"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3 RCTS</w:t>
            </w:r>
          </w:p>
        </w:tc>
        <w:tc>
          <w:tcPr>
            <w:tcW w:w="0" w:type="auto"/>
            <w:tcBorders>
              <w:top w:val="single" w:sz="8" w:space="0" w:color="auto"/>
              <w:left w:val="single" w:sz="8" w:space="0" w:color="auto"/>
              <w:bottom w:val="single" w:sz="8" w:space="0" w:color="auto"/>
              <w:right w:val="single" w:sz="8" w:space="0" w:color="auto"/>
            </w:tcBorders>
          </w:tcPr>
          <w:p w14:paraId="02225118" w14:textId="079562C8"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Patients with </w:t>
            </w:r>
            <w:r w:rsidRPr="008F51C0">
              <w:rPr>
                <w:rFonts w:eastAsia="Times New Roman" w:cstheme="minorHAnsi"/>
                <w:color w:val="000000" w:themeColor="text1"/>
                <w:sz w:val="20"/>
                <w:szCs w:val="20"/>
              </w:rPr>
              <w:t>partial thickness burns</w:t>
            </w:r>
          </w:p>
        </w:tc>
        <w:tc>
          <w:tcPr>
            <w:tcW w:w="0" w:type="auto"/>
            <w:tcBorders>
              <w:top w:val="single" w:sz="8" w:space="0" w:color="auto"/>
              <w:left w:val="single" w:sz="8" w:space="0" w:color="auto"/>
              <w:bottom w:val="single" w:sz="8" w:space="0" w:color="auto"/>
              <w:right w:val="single" w:sz="8" w:space="0" w:color="auto"/>
            </w:tcBorders>
          </w:tcPr>
          <w:p w14:paraId="0DDD37AD" w14:textId="5ECB7C49" w:rsidR="290496F1" w:rsidRPr="008F51C0" w:rsidRDefault="290496F1" w:rsidP="008F51C0">
            <w:pPr>
              <w:spacing w:after="0" w:line="240" w:lineRule="auto"/>
              <w:rPr>
                <w:rFonts w:cstheme="minorHAnsi"/>
                <w:sz w:val="20"/>
                <w:szCs w:val="20"/>
              </w:rPr>
            </w:pPr>
            <w:r w:rsidRPr="008F51C0">
              <w:rPr>
                <w:rFonts w:eastAsia="Times New Roman" w:cstheme="minorHAnsi"/>
                <w:color w:val="000000" w:themeColor="text1"/>
                <w:sz w:val="20"/>
                <w:szCs w:val="20"/>
              </w:rPr>
              <w:t>foam dressing</w:t>
            </w:r>
            <w:r w:rsidRPr="008F51C0">
              <w:rPr>
                <w:rFonts w:eastAsia="Times New Roman" w:cstheme="minorHAnsi"/>
                <w:sz w:val="20"/>
                <w:szCs w:val="20"/>
              </w:rPr>
              <w:t xml:space="preserve"> vs SSD and non-foam dressing</w:t>
            </w:r>
          </w:p>
        </w:tc>
        <w:tc>
          <w:tcPr>
            <w:tcW w:w="0" w:type="auto"/>
            <w:tcBorders>
              <w:top w:val="single" w:sz="8" w:space="0" w:color="auto"/>
              <w:left w:val="single" w:sz="8" w:space="0" w:color="auto"/>
              <w:bottom w:val="single" w:sz="8" w:space="0" w:color="auto"/>
              <w:right w:val="single" w:sz="8" w:space="0" w:color="auto"/>
            </w:tcBorders>
          </w:tcPr>
          <w:p w14:paraId="287D7579" w14:textId="23910B9A"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Wound healing</w:t>
            </w:r>
          </w:p>
          <w:p w14:paraId="1D603F55" w14:textId="3A618A80"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 </w:t>
            </w:r>
          </w:p>
        </w:tc>
      </w:tr>
      <w:tr w:rsidR="290496F1" w:rsidRPr="00F71D6C" w14:paraId="6D8EB099" w14:textId="77777777" w:rsidTr="00F71D6C">
        <w:tc>
          <w:tcPr>
            <w:tcW w:w="0" w:type="auto"/>
            <w:tcBorders>
              <w:top w:val="single" w:sz="8" w:space="0" w:color="auto"/>
              <w:left w:val="single" w:sz="8" w:space="0" w:color="auto"/>
              <w:bottom w:val="single" w:sz="8" w:space="0" w:color="auto"/>
              <w:right w:val="single" w:sz="8" w:space="0" w:color="auto"/>
            </w:tcBorders>
          </w:tcPr>
          <w:p w14:paraId="2E41C232" w14:textId="39CEFA4F" w:rsidR="290496F1" w:rsidRPr="008F51C0" w:rsidRDefault="00641826" w:rsidP="008F51C0">
            <w:pPr>
              <w:spacing w:after="0" w:line="240" w:lineRule="auto"/>
              <w:rPr>
                <w:rFonts w:cstheme="minorHAnsi"/>
                <w:sz w:val="20"/>
                <w:szCs w:val="20"/>
              </w:rPr>
            </w:pPr>
            <w:hyperlink r:id="rId30">
              <w:r w:rsidR="290496F1" w:rsidRPr="008F51C0">
                <w:rPr>
                  <w:rStyle w:val="Hyperlink"/>
                  <w:rFonts w:eastAsia="Segoe UI" w:cstheme="minorHAnsi"/>
                  <w:sz w:val="20"/>
                  <w:szCs w:val="20"/>
                </w:rPr>
                <w:t>Norman, 2017</w:t>
              </w:r>
            </w:hyperlink>
            <w:r w:rsidR="290496F1" w:rsidRPr="008F51C0">
              <w:rPr>
                <w:rFonts w:eastAsia="Segoe UI" w:cstheme="minorHAnsi"/>
                <w:sz w:val="20"/>
                <w:szCs w:val="20"/>
                <w:vertAlign w:val="superscript"/>
              </w:rPr>
              <w:t>6</w:t>
            </w:r>
          </w:p>
          <w:p w14:paraId="1C5AE039" w14:textId="396E3613" w:rsidR="290496F1" w:rsidRPr="008F51C0" w:rsidRDefault="290496F1" w:rsidP="008F51C0">
            <w:pPr>
              <w:spacing w:after="0" w:line="240" w:lineRule="auto"/>
              <w:rPr>
                <w:rFonts w:cstheme="minorHAnsi"/>
                <w:sz w:val="20"/>
                <w:szCs w:val="20"/>
              </w:rPr>
            </w:pPr>
            <w:r w:rsidRPr="008F51C0">
              <w:rPr>
                <w:rFonts w:eastAsia="Segoe UI" w:cstheme="minorHAnsi"/>
                <w:sz w:val="20"/>
                <w:szCs w:val="20"/>
              </w:rPr>
              <w:t xml:space="preserve"> </w:t>
            </w:r>
          </w:p>
          <w:p w14:paraId="31E294B7" w14:textId="0C166D95"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 xml:space="preserve">(in original review) </w:t>
            </w:r>
          </w:p>
        </w:tc>
        <w:tc>
          <w:tcPr>
            <w:tcW w:w="0" w:type="auto"/>
            <w:tcBorders>
              <w:top w:val="single" w:sz="8" w:space="0" w:color="auto"/>
              <w:left w:val="single" w:sz="8" w:space="0" w:color="auto"/>
              <w:bottom w:val="single" w:sz="8" w:space="0" w:color="auto"/>
              <w:right w:val="single" w:sz="8" w:space="0" w:color="auto"/>
            </w:tcBorders>
          </w:tcPr>
          <w:p w14:paraId="02F6A815" w14:textId="6A950C7A"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Cochrane Systematic Review</w:t>
            </w:r>
          </w:p>
        </w:tc>
        <w:tc>
          <w:tcPr>
            <w:tcW w:w="0" w:type="auto"/>
            <w:tcBorders>
              <w:top w:val="single" w:sz="8" w:space="0" w:color="auto"/>
              <w:left w:val="single" w:sz="8" w:space="0" w:color="auto"/>
              <w:bottom w:val="single" w:sz="8" w:space="0" w:color="auto"/>
              <w:right w:val="single" w:sz="8" w:space="0" w:color="auto"/>
            </w:tcBorders>
          </w:tcPr>
          <w:p w14:paraId="50B0CFF1" w14:textId="34597BBE"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56 RCTs (5807 participants)</w:t>
            </w:r>
          </w:p>
        </w:tc>
        <w:tc>
          <w:tcPr>
            <w:tcW w:w="0" w:type="auto"/>
            <w:tcBorders>
              <w:top w:val="single" w:sz="8" w:space="0" w:color="auto"/>
              <w:left w:val="single" w:sz="8" w:space="0" w:color="auto"/>
              <w:bottom w:val="single" w:sz="8" w:space="0" w:color="auto"/>
              <w:right w:val="single" w:sz="8" w:space="0" w:color="auto"/>
            </w:tcBorders>
          </w:tcPr>
          <w:p w14:paraId="6FFC1C0B" w14:textId="6941320F"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people with any burn wound</w:t>
            </w:r>
          </w:p>
        </w:tc>
        <w:tc>
          <w:tcPr>
            <w:tcW w:w="0" w:type="auto"/>
            <w:tcBorders>
              <w:top w:val="single" w:sz="8" w:space="0" w:color="auto"/>
              <w:left w:val="single" w:sz="8" w:space="0" w:color="auto"/>
              <w:bottom w:val="single" w:sz="8" w:space="0" w:color="auto"/>
              <w:right w:val="single" w:sz="8" w:space="0" w:color="auto"/>
            </w:tcBorders>
          </w:tcPr>
          <w:p w14:paraId="60E18A10" w14:textId="1FB680EC" w:rsidR="290496F1" w:rsidRPr="008F51C0" w:rsidRDefault="290496F1" w:rsidP="008F51C0">
            <w:pPr>
              <w:spacing w:after="0" w:line="240" w:lineRule="auto"/>
              <w:rPr>
                <w:rFonts w:cstheme="minorHAnsi"/>
                <w:sz w:val="20"/>
                <w:szCs w:val="20"/>
              </w:rPr>
            </w:pPr>
            <w:proofErr w:type="gramStart"/>
            <w:r w:rsidRPr="008F51C0">
              <w:rPr>
                <w:rFonts w:eastAsia="Times New Roman" w:cstheme="minorHAnsi"/>
                <w:sz w:val="20"/>
                <w:szCs w:val="20"/>
              </w:rPr>
              <w:t>topical</w:t>
            </w:r>
            <w:proofErr w:type="gramEnd"/>
            <w:r w:rsidRPr="008F51C0">
              <w:rPr>
                <w:rFonts w:eastAsia="Times New Roman" w:cstheme="minorHAnsi"/>
                <w:sz w:val="20"/>
                <w:szCs w:val="20"/>
              </w:rPr>
              <w:t xml:space="preserve"> treatments with antiseptic properties.</w:t>
            </w:r>
          </w:p>
        </w:tc>
        <w:tc>
          <w:tcPr>
            <w:tcW w:w="0" w:type="auto"/>
            <w:tcBorders>
              <w:top w:val="single" w:sz="8" w:space="0" w:color="auto"/>
              <w:left w:val="single" w:sz="8" w:space="0" w:color="auto"/>
              <w:bottom w:val="single" w:sz="8" w:space="0" w:color="auto"/>
              <w:right w:val="single" w:sz="8" w:space="0" w:color="auto"/>
            </w:tcBorders>
          </w:tcPr>
          <w:p w14:paraId="0E96CA0C" w14:textId="517E2646"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time to complete wound healing</w:t>
            </w:r>
          </w:p>
          <w:p w14:paraId="33D5EF22" w14:textId="62E02ADD"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proportion of wounds completely healed during follow‐up</w:t>
            </w:r>
          </w:p>
          <w:p w14:paraId="106A76FD" w14:textId="4840C523"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AEs</w:t>
            </w:r>
          </w:p>
          <w:p w14:paraId="1F2E509E" w14:textId="27628054"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QOL</w:t>
            </w:r>
          </w:p>
          <w:p w14:paraId="3259CCE5" w14:textId="5D2537DF"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Pain</w:t>
            </w:r>
          </w:p>
          <w:p w14:paraId="01ADDCED" w14:textId="76E08275"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Resource use</w:t>
            </w:r>
          </w:p>
        </w:tc>
      </w:tr>
      <w:tr w:rsidR="290496F1" w:rsidRPr="00F71D6C" w14:paraId="358C0E77" w14:textId="77777777" w:rsidTr="00F71D6C">
        <w:tc>
          <w:tcPr>
            <w:tcW w:w="0" w:type="auto"/>
            <w:tcBorders>
              <w:top w:val="single" w:sz="8" w:space="0" w:color="auto"/>
              <w:left w:val="single" w:sz="8" w:space="0" w:color="auto"/>
              <w:bottom w:val="single" w:sz="8" w:space="0" w:color="auto"/>
              <w:right w:val="single" w:sz="8" w:space="0" w:color="auto"/>
            </w:tcBorders>
          </w:tcPr>
          <w:p w14:paraId="5152BB4C" w14:textId="5C8BAAFD" w:rsidR="290496F1" w:rsidRPr="008F51C0" w:rsidRDefault="00641826" w:rsidP="008F51C0">
            <w:pPr>
              <w:spacing w:after="0" w:line="240" w:lineRule="auto"/>
              <w:rPr>
                <w:rFonts w:cstheme="minorHAnsi"/>
                <w:sz w:val="20"/>
                <w:szCs w:val="20"/>
              </w:rPr>
            </w:pPr>
            <w:hyperlink r:id="rId31">
              <w:proofErr w:type="spellStart"/>
              <w:r w:rsidR="290496F1" w:rsidRPr="008F51C0">
                <w:rPr>
                  <w:rStyle w:val="Hyperlink"/>
                  <w:rFonts w:eastAsia="Segoe UI" w:cstheme="minorHAnsi"/>
                  <w:sz w:val="20"/>
                  <w:szCs w:val="20"/>
                </w:rPr>
                <w:t>Hoogewerf</w:t>
              </w:r>
              <w:proofErr w:type="spellEnd"/>
              <w:r w:rsidR="290496F1" w:rsidRPr="008F51C0">
                <w:rPr>
                  <w:rStyle w:val="Hyperlink"/>
                  <w:rFonts w:eastAsia="Segoe UI" w:cstheme="minorHAnsi"/>
                  <w:sz w:val="20"/>
                  <w:szCs w:val="20"/>
                </w:rPr>
                <w:t>, 2020</w:t>
              </w:r>
            </w:hyperlink>
            <w:r w:rsidR="290496F1" w:rsidRPr="008F51C0">
              <w:rPr>
                <w:rFonts w:eastAsia="Segoe UI" w:cstheme="minorHAnsi"/>
                <w:sz w:val="20"/>
                <w:szCs w:val="20"/>
                <w:vertAlign w:val="superscript"/>
              </w:rPr>
              <w:t>7</w:t>
            </w:r>
          </w:p>
        </w:tc>
        <w:tc>
          <w:tcPr>
            <w:tcW w:w="0" w:type="auto"/>
            <w:tcBorders>
              <w:top w:val="single" w:sz="8" w:space="0" w:color="auto"/>
              <w:left w:val="single" w:sz="8" w:space="0" w:color="auto"/>
              <w:bottom w:val="single" w:sz="8" w:space="0" w:color="auto"/>
              <w:right w:val="single" w:sz="8" w:space="0" w:color="auto"/>
            </w:tcBorders>
          </w:tcPr>
          <w:p w14:paraId="38501366" w14:textId="344F8CCA"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Cochrane Systematic Review</w:t>
            </w:r>
          </w:p>
        </w:tc>
        <w:tc>
          <w:tcPr>
            <w:tcW w:w="0" w:type="auto"/>
            <w:tcBorders>
              <w:top w:val="single" w:sz="8" w:space="0" w:color="auto"/>
              <w:left w:val="single" w:sz="8" w:space="0" w:color="auto"/>
              <w:bottom w:val="single" w:sz="8" w:space="0" w:color="auto"/>
              <w:right w:val="single" w:sz="8" w:space="0" w:color="auto"/>
            </w:tcBorders>
          </w:tcPr>
          <w:p w14:paraId="7BEFBF0C" w14:textId="7FC919B4"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12 RCTs (507 participants)</w:t>
            </w:r>
          </w:p>
          <w:p w14:paraId="28CCCF15" w14:textId="0C6D9286" w:rsidR="290496F1" w:rsidRPr="008F51C0" w:rsidRDefault="290496F1" w:rsidP="008F51C0">
            <w:pPr>
              <w:spacing w:after="0" w:line="240" w:lineRule="auto"/>
              <w:jc w:val="center"/>
              <w:rPr>
                <w:rFonts w:cstheme="minorHAnsi"/>
                <w:sz w:val="20"/>
                <w:szCs w:val="20"/>
              </w:rPr>
            </w:pPr>
            <w:r w:rsidRPr="008F51C0">
              <w:rPr>
                <w:rFonts w:eastAsia="Times New Roman" w:cstheme="minorHAns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3F9BE15F" w14:textId="6D93D70A"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People with facial burns of any depth</w:t>
            </w:r>
          </w:p>
        </w:tc>
        <w:tc>
          <w:tcPr>
            <w:tcW w:w="0" w:type="auto"/>
            <w:tcBorders>
              <w:top w:val="single" w:sz="8" w:space="0" w:color="auto"/>
              <w:left w:val="single" w:sz="8" w:space="0" w:color="auto"/>
              <w:bottom w:val="single" w:sz="8" w:space="0" w:color="auto"/>
              <w:right w:val="single" w:sz="8" w:space="0" w:color="auto"/>
            </w:tcBorders>
          </w:tcPr>
          <w:p w14:paraId="083F20EA" w14:textId="20C59F2D" w:rsidR="290496F1" w:rsidRPr="008F51C0" w:rsidRDefault="290496F1" w:rsidP="008F51C0">
            <w:pPr>
              <w:spacing w:after="0" w:line="240" w:lineRule="auto"/>
              <w:rPr>
                <w:rFonts w:cstheme="minorHAnsi"/>
                <w:sz w:val="20"/>
                <w:szCs w:val="20"/>
              </w:rPr>
            </w:pPr>
            <w:r w:rsidRPr="008F51C0">
              <w:rPr>
                <w:rFonts w:eastAsia="Courier New" w:cstheme="minorHAnsi"/>
                <w:color w:val="000000" w:themeColor="text1"/>
                <w:sz w:val="20"/>
                <w:szCs w:val="20"/>
              </w:rPr>
              <w:t>Topical antimicrobial agents</w:t>
            </w:r>
            <w:r w:rsidRPr="008F51C0">
              <w:rPr>
                <w:rFonts w:eastAsia="Times New Roman" w:cstheme="minorHAnsi"/>
                <w:sz w:val="20"/>
                <w:szCs w:val="20"/>
              </w:rPr>
              <w:t xml:space="preserve"> </w:t>
            </w:r>
          </w:p>
          <w:p w14:paraId="6AF8694E" w14:textId="175B6B25" w:rsidR="290496F1" w:rsidRPr="008F51C0" w:rsidRDefault="290496F1" w:rsidP="008F51C0">
            <w:pPr>
              <w:spacing w:after="0" w:line="240" w:lineRule="auto"/>
              <w:rPr>
                <w:rFonts w:cstheme="minorHAnsi"/>
                <w:sz w:val="20"/>
                <w:szCs w:val="20"/>
              </w:rPr>
            </w:pPr>
            <w:r w:rsidRPr="008F51C0">
              <w:rPr>
                <w:rFonts w:eastAsia="Courier New" w:cstheme="minorHAnsi"/>
                <w:color w:val="000000" w:themeColor="text1"/>
                <w:sz w:val="20"/>
                <w:szCs w:val="20"/>
              </w:rPr>
              <w:t>topical non-antimicrobial agents</w:t>
            </w:r>
          </w:p>
          <w:p w14:paraId="420FF391" w14:textId="5A340F28" w:rsidR="290496F1" w:rsidRPr="008F51C0" w:rsidRDefault="00F71D6C" w:rsidP="008F51C0">
            <w:pPr>
              <w:spacing w:after="0" w:line="240" w:lineRule="auto"/>
              <w:rPr>
                <w:rFonts w:cstheme="minorHAnsi"/>
                <w:sz w:val="20"/>
                <w:szCs w:val="20"/>
              </w:rPr>
            </w:pPr>
            <w:r w:rsidRPr="008F51C0">
              <w:rPr>
                <w:rFonts w:eastAsia="Courier New" w:cstheme="minorHAnsi"/>
                <w:color w:val="000000" w:themeColor="text1"/>
                <w:sz w:val="20"/>
                <w:szCs w:val="20"/>
              </w:rPr>
              <w:t>S</w:t>
            </w:r>
            <w:r w:rsidR="290496F1" w:rsidRPr="008F51C0">
              <w:rPr>
                <w:rFonts w:eastAsia="Courier New" w:cstheme="minorHAnsi"/>
                <w:color w:val="000000" w:themeColor="text1"/>
                <w:sz w:val="20"/>
                <w:szCs w:val="20"/>
              </w:rPr>
              <w:t>kin substitutes</w:t>
            </w:r>
          </w:p>
          <w:p w14:paraId="37822EE9" w14:textId="572A490C" w:rsidR="290496F1" w:rsidRPr="008F51C0" w:rsidRDefault="290496F1" w:rsidP="008F51C0">
            <w:pPr>
              <w:spacing w:after="0" w:line="240" w:lineRule="auto"/>
              <w:rPr>
                <w:rFonts w:cstheme="minorHAnsi"/>
                <w:sz w:val="20"/>
                <w:szCs w:val="20"/>
              </w:rPr>
            </w:pPr>
            <w:r w:rsidRPr="008F51C0">
              <w:rPr>
                <w:rFonts w:eastAsia="Courier New" w:cstheme="minorHAnsi"/>
                <w:color w:val="000000" w:themeColor="text1"/>
                <w:sz w:val="20"/>
                <w:szCs w:val="20"/>
              </w:rPr>
              <w:t>Miscellaneous treatments</w:t>
            </w:r>
          </w:p>
        </w:tc>
        <w:tc>
          <w:tcPr>
            <w:tcW w:w="0" w:type="auto"/>
            <w:tcBorders>
              <w:top w:val="single" w:sz="8" w:space="0" w:color="auto"/>
              <w:left w:val="single" w:sz="8" w:space="0" w:color="auto"/>
              <w:bottom w:val="single" w:sz="8" w:space="0" w:color="auto"/>
              <w:right w:val="single" w:sz="8" w:space="0" w:color="auto"/>
            </w:tcBorders>
          </w:tcPr>
          <w:p w14:paraId="2242DA59" w14:textId="7D40A75D"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time to complete wound healing</w:t>
            </w:r>
          </w:p>
          <w:p w14:paraId="069490FC" w14:textId="32DBEBD2"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proportion of wounds completely healed during follow‐up</w:t>
            </w:r>
          </w:p>
          <w:p w14:paraId="1FC510AD" w14:textId="2A54C0C5"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AEs</w:t>
            </w:r>
          </w:p>
          <w:p w14:paraId="11AE0D81" w14:textId="519AEDD1"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QOL</w:t>
            </w:r>
          </w:p>
          <w:p w14:paraId="237D68BD" w14:textId="4DF2F35C"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Pain</w:t>
            </w:r>
          </w:p>
          <w:p w14:paraId="3E4AEB88" w14:textId="7C6EEB02" w:rsidR="290496F1" w:rsidRPr="008F51C0" w:rsidRDefault="290496F1" w:rsidP="008F51C0">
            <w:pPr>
              <w:spacing w:after="0" w:line="240" w:lineRule="auto"/>
              <w:rPr>
                <w:rFonts w:cstheme="minorHAnsi"/>
                <w:sz w:val="20"/>
                <w:szCs w:val="20"/>
              </w:rPr>
            </w:pPr>
            <w:r w:rsidRPr="008F51C0">
              <w:rPr>
                <w:rFonts w:eastAsia="Times New Roman" w:cstheme="minorHAnsi"/>
                <w:sz w:val="20"/>
                <w:szCs w:val="20"/>
              </w:rPr>
              <w:t>Resource use</w:t>
            </w:r>
          </w:p>
        </w:tc>
      </w:tr>
    </w:tbl>
    <w:p w14:paraId="7F60AD67" w14:textId="55AEFF95" w:rsidR="005C58C1" w:rsidRPr="00F71D6C" w:rsidRDefault="005C58C1" w:rsidP="00B07ECF">
      <w:pPr>
        <w:pStyle w:val="ListParagraph"/>
        <w:spacing w:after="0" w:line="240" w:lineRule="auto"/>
        <w:ind w:left="1080"/>
        <w:rPr>
          <w:rFonts w:cstheme="minorHAnsi"/>
          <w:b/>
          <w:bCs/>
        </w:rPr>
      </w:pPr>
    </w:p>
    <w:p w14:paraId="3AE95403" w14:textId="04DC9C43" w:rsidR="008136E5" w:rsidRPr="00F71D6C" w:rsidRDefault="7A388282" w:rsidP="00B07ECF">
      <w:pPr>
        <w:pStyle w:val="ListParagraph"/>
        <w:numPr>
          <w:ilvl w:val="1"/>
          <w:numId w:val="1"/>
        </w:numPr>
        <w:spacing w:after="0" w:line="240" w:lineRule="auto"/>
        <w:rPr>
          <w:rFonts w:cstheme="minorHAnsi"/>
          <w:b/>
          <w:bCs/>
        </w:rPr>
      </w:pPr>
      <w:r w:rsidRPr="00F71D6C">
        <w:rPr>
          <w:rFonts w:cstheme="minorHAnsi"/>
          <w:b/>
          <w:bCs/>
        </w:rPr>
        <w:t>Evidence quality</w:t>
      </w:r>
      <w:r w:rsidR="5214DB8B" w:rsidRPr="00F71D6C">
        <w:rPr>
          <w:rFonts w:cstheme="minorHAnsi"/>
          <w:b/>
          <w:bCs/>
        </w:rPr>
        <w:t xml:space="preserve">: </w:t>
      </w:r>
      <w:r w:rsidR="565A1AF2" w:rsidRPr="00F71D6C">
        <w:rPr>
          <w:rFonts w:cstheme="minorHAnsi"/>
        </w:rPr>
        <w:t xml:space="preserve">Overall certainty of the evidence in the included SRs were low. </w:t>
      </w:r>
    </w:p>
    <w:p w14:paraId="2448B9DA" w14:textId="77777777" w:rsidR="00B430E6" w:rsidRPr="00F71D6C" w:rsidRDefault="00B430E6" w:rsidP="00B07ECF">
      <w:pPr>
        <w:pStyle w:val="ListParagraph"/>
        <w:spacing w:after="0" w:line="240" w:lineRule="auto"/>
        <w:ind w:left="1080"/>
        <w:rPr>
          <w:rFonts w:cstheme="minorHAnsi"/>
          <w:b/>
        </w:rPr>
      </w:pPr>
    </w:p>
    <w:p w14:paraId="52F60940" w14:textId="6D7931B3" w:rsidR="000A1EDB" w:rsidRPr="00F71D6C" w:rsidRDefault="000A1EDB" w:rsidP="00B07ECF">
      <w:pPr>
        <w:spacing w:after="0" w:line="240" w:lineRule="auto"/>
        <w:rPr>
          <w:rFonts w:cstheme="minorHAnsi"/>
          <w:i/>
          <w:color w:val="4F81BD" w:themeColor="accent1"/>
        </w:rPr>
      </w:pPr>
    </w:p>
    <w:p w14:paraId="5D749896" w14:textId="2CD08EE7" w:rsidR="000A1EDB" w:rsidRPr="008F51C0" w:rsidRDefault="000A1EDB" w:rsidP="00E3294F">
      <w:pPr>
        <w:pStyle w:val="Heading2"/>
        <w:spacing w:line="240" w:lineRule="auto"/>
        <w:rPr>
          <w:rFonts w:asciiTheme="minorHAnsi" w:hAnsiTheme="minorHAnsi" w:cstheme="minorHAnsi"/>
          <w:b/>
          <w:color w:val="auto"/>
          <w:sz w:val="24"/>
        </w:rPr>
      </w:pPr>
      <w:r w:rsidRPr="008F51C0">
        <w:rPr>
          <w:rFonts w:asciiTheme="minorHAnsi" w:hAnsiTheme="minorHAnsi" w:cstheme="minorHAnsi"/>
          <w:b/>
          <w:color w:val="auto"/>
          <w:sz w:val="24"/>
        </w:rPr>
        <w:t>Appendix 1</w:t>
      </w:r>
      <w:r w:rsidR="00F71D6C" w:rsidRPr="008F51C0">
        <w:rPr>
          <w:rFonts w:asciiTheme="minorHAnsi" w:hAnsiTheme="minorHAnsi" w:cstheme="minorHAnsi"/>
          <w:b/>
          <w:color w:val="auto"/>
          <w:sz w:val="24"/>
        </w:rPr>
        <w:t xml:space="preserve"> – Search strategy </w:t>
      </w:r>
    </w:p>
    <w:p w14:paraId="16394DE6" w14:textId="2F6E1D23" w:rsidR="000A1EDB" w:rsidRPr="00F71D6C" w:rsidRDefault="000A1EDB" w:rsidP="00B07ECF">
      <w:pPr>
        <w:spacing w:after="0" w:line="240" w:lineRule="auto"/>
        <w:rPr>
          <w:rFonts w:cstheme="minorHAnsi"/>
          <w:iCs/>
          <w:color w:val="4F81BD" w:themeColor="accent1"/>
        </w:rPr>
      </w:pPr>
    </w:p>
    <w:p w14:paraId="2E60A47A" w14:textId="6DBADDF9" w:rsidR="000A1EDB" w:rsidRPr="00F71D6C" w:rsidRDefault="000A1EDB" w:rsidP="00B07ECF">
      <w:pPr>
        <w:spacing w:after="0" w:line="240" w:lineRule="auto"/>
        <w:rPr>
          <w:rFonts w:cstheme="minorHAnsi"/>
          <w:color w:val="4F81BD" w:themeColor="accent1"/>
        </w:rPr>
      </w:pPr>
      <w:r w:rsidRPr="00F71D6C">
        <w:rPr>
          <w:rFonts w:cstheme="minorHAnsi"/>
          <w:color w:val="333333"/>
          <w:shd w:val="clear" w:color="auto" w:fill="F9F9F9"/>
        </w:rPr>
        <w:t>(</w:t>
      </w:r>
      <w:proofErr w:type="gramStart"/>
      <w:r w:rsidRPr="00F71D6C">
        <w:rPr>
          <w:rFonts w:cstheme="minorHAnsi"/>
          <w:color w:val="333333"/>
          <w:shd w:val="clear" w:color="auto" w:fill="F9F9F9"/>
        </w:rPr>
        <w:t>title:</w:t>
      </w:r>
      <w:proofErr w:type="gramEnd"/>
      <w:r w:rsidRPr="00F71D6C">
        <w:rPr>
          <w:rFonts w:cstheme="minorHAnsi"/>
          <w:color w:val="333333"/>
          <w:shd w:val="clear" w:color="auto" w:fill="F9F9F9"/>
        </w:rPr>
        <w:t xml:space="preserve">(burn OR burns) OR </w:t>
      </w:r>
      <w:proofErr w:type="gramStart"/>
      <w:r w:rsidRPr="00F71D6C">
        <w:rPr>
          <w:rFonts w:cstheme="minorHAnsi"/>
          <w:color w:val="333333"/>
          <w:shd w:val="clear" w:color="auto" w:fill="F9F9F9"/>
        </w:rPr>
        <w:t>abstract:</w:t>
      </w:r>
      <w:proofErr w:type="gramEnd"/>
      <w:r w:rsidRPr="00F71D6C">
        <w:rPr>
          <w:rFonts w:cstheme="minorHAnsi"/>
          <w:color w:val="333333"/>
          <w:shd w:val="clear" w:color="auto" w:fill="F9F9F9"/>
        </w:rPr>
        <w:t xml:space="preserve">(burn OR burns)) AND (title:(dressings OR </w:t>
      </w:r>
      <w:proofErr w:type="spellStart"/>
      <w:r w:rsidRPr="00F71D6C">
        <w:rPr>
          <w:rFonts w:cstheme="minorHAnsi"/>
          <w:color w:val="333333"/>
          <w:shd w:val="clear" w:color="auto" w:fill="F9F9F9"/>
        </w:rPr>
        <w:t>dresssing</w:t>
      </w:r>
      <w:proofErr w:type="spellEnd"/>
      <w:r w:rsidRPr="00F71D6C">
        <w:rPr>
          <w:rFonts w:cstheme="minorHAnsi"/>
          <w:color w:val="333333"/>
          <w:shd w:val="clear" w:color="auto" w:fill="F9F9F9"/>
        </w:rPr>
        <w:t xml:space="preserve"> OR "</w:t>
      </w:r>
      <w:proofErr w:type="spellStart"/>
      <w:r w:rsidRPr="00F71D6C">
        <w:rPr>
          <w:rFonts w:cstheme="minorHAnsi"/>
          <w:color w:val="333333"/>
          <w:shd w:val="clear" w:color="auto" w:fill="F9F9F9"/>
        </w:rPr>
        <w:t>povione</w:t>
      </w:r>
      <w:proofErr w:type="spellEnd"/>
      <w:r w:rsidRPr="00F71D6C">
        <w:rPr>
          <w:rFonts w:cstheme="minorHAnsi"/>
          <w:color w:val="333333"/>
          <w:shd w:val="clear" w:color="auto" w:fill="F9F9F9"/>
        </w:rPr>
        <w:t xml:space="preserve"> iodine" OR "silver sulfadiazine" OR </w:t>
      </w:r>
      <w:proofErr w:type="spellStart"/>
      <w:r w:rsidRPr="00F71D6C">
        <w:rPr>
          <w:rFonts w:cstheme="minorHAnsi"/>
          <w:color w:val="333333"/>
          <w:shd w:val="clear" w:color="auto" w:fill="F9F9F9"/>
        </w:rPr>
        <w:t>mupirocin</w:t>
      </w:r>
      <w:proofErr w:type="spellEnd"/>
      <w:r w:rsidRPr="00F71D6C">
        <w:rPr>
          <w:rFonts w:cstheme="minorHAnsi"/>
          <w:color w:val="333333"/>
          <w:shd w:val="clear" w:color="auto" w:fill="F9F9F9"/>
        </w:rPr>
        <w:t xml:space="preserve"> OR "</w:t>
      </w:r>
      <w:proofErr w:type="spellStart"/>
      <w:r w:rsidRPr="00F71D6C">
        <w:rPr>
          <w:rFonts w:cstheme="minorHAnsi"/>
          <w:color w:val="333333"/>
          <w:shd w:val="clear" w:color="auto" w:fill="F9F9F9"/>
        </w:rPr>
        <w:t>nano</w:t>
      </w:r>
      <w:proofErr w:type="spellEnd"/>
      <w:r w:rsidRPr="00F71D6C">
        <w:rPr>
          <w:rFonts w:cstheme="minorHAnsi"/>
          <w:color w:val="333333"/>
          <w:shd w:val="clear" w:color="auto" w:fill="F9F9F9"/>
        </w:rPr>
        <w:t xml:space="preserve">-crystalline" OR "melaleuca </w:t>
      </w:r>
      <w:proofErr w:type="spellStart"/>
      <w:r w:rsidRPr="00F71D6C">
        <w:rPr>
          <w:rFonts w:cstheme="minorHAnsi"/>
          <w:color w:val="333333"/>
          <w:shd w:val="clear" w:color="auto" w:fill="F9F9F9"/>
        </w:rPr>
        <w:t>alternifolia</w:t>
      </w:r>
      <w:proofErr w:type="spellEnd"/>
      <w:r w:rsidRPr="00F71D6C">
        <w:rPr>
          <w:rFonts w:cstheme="minorHAnsi"/>
          <w:color w:val="333333"/>
          <w:shd w:val="clear" w:color="auto" w:fill="F9F9F9"/>
        </w:rPr>
        <w:t>") OR abstract:(dressings OR dressing OR "</w:t>
      </w:r>
      <w:proofErr w:type="spellStart"/>
      <w:r w:rsidRPr="00F71D6C">
        <w:rPr>
          <w:rFonts w:cstheme="minorHAnsi"/>
          <w:color w:val="333333"/>
          <w:shd w:val="clear" w:color="auto" w:fill="F9F9F9"/>
        </w:rPr>
        <w:t>povione</w:t>
      </w:r>
      <w:proofErr w:type="spellEnd"/>
      <w:r w:rsidRPr="00F71D6C">
        <w:rPr>
          <w:rFonts w:cstheme="minorHAnsi"/>
          <w:color w:val="333333"/>
          <w:shd w:val="clear" w:color="auto" w:fill="F9F9F9"/>
        </w:rPr>
        <w:t xml:space="preserve"> iodine" OR "silver sulfadiazine" OR </w:t>
      </w:r>
      <w:proofErr w:type="spellStart"/>
      <w:r w:rsidRPr="00F71D6C">
        <w:rPr>
          <w:rFonts w:cstheme="minorHAnsi"/>
          <w:color w:val="333333"/>
          <w:shd w:val="clear" w:color="auto" w:fill="F9F9F9"/>
        </w:rPr>
        <w:t>mupirocin</w:t>
      </w:r>
      <w:proofErr w:type="spellEnd"/>
      <w:r w:rsidRPr="00F71D6C">
        <w:rPr>
          <w:rFonts w:cstheme="minorHAnsi"/>
          <w:color w:val="333333"/>
          <w:shd w:val="clear" w:color="auto" w:fill="F9F9F9"/>
        </w:rPr>
        <w:t xml:space="preserve"> OR "</w:t>
      </w:r>
      <w:proofErr w:type="spellStart"/>
      <w:r w:rsidRPr="00F71D6C">
        <w:rPr>
          <w:rFonts w:cstheme="minorHAnsi"/>
          <w:color w:val="333333"/>
          <w:shd w:val="clear" w:color="auto" w:fill="F9F9F9"/>
        </w:rPr>
        <w:t>nano</w:t>
      </w:r>
      <w:proofErr w:type="spellEnd"/>
      <w:r w:rsidRPr="00F71D6C">
        <w:rPr>
          <w:rFonts w:cstheme="minorHAnsi"/>
          <w:color w:val="333333"/>
          <w:shd w:val="clear" w:color="auto" w:fill="F9F9F9"/>
        </w:rPr>
        <w:t xml:space="preserve">-crystalline" OR "melaleuca </w:t>
      </w:r>
      <w:proofErr w:type="spellStart"/>
      <w:r w:rsidRPr="00F71D6C">
        <w:rPr>
          <w:rFonts w:cstheme="minorHAnsi"/>
          <w:color w:val="333333"/>
          <w:shd w:val="clear" w:color="auto" w:fill="F9F9F9"/>
        </w:rPr>
        <w:t>alternifolia</w:t>
      </w:r>
      <w:proofErr w:type="spellEnd"/>
      <w:r w:rsidRPr="00F71D6C">
        <w:rPr>
          <w:rFonts w:cstheme="minorHAnsi"/>
          <w:color w:val="333333"/>
          <w:shd w:val="clear" w:color="auto" w:fill="F9F9F9"/>
        </w:rPr>
        <w:t>"))</w:t>
      </w:r>
    </w:p>
    <w:p w14:paraId="701AE76A" w14:textId="77777777" w:rsidR="008136E5" w:rsidRDefault="008136E5" w:rsidP="00B07ECF">
      <w:pPr>
        <w:pStyle w:val="ListParagraph"/>
        <w:spacing w:after="0" w:line="240" w:lineRule="auto"/>
        <w:ind w:left="1080"/>
        <w:rPr>
          <w:b/>
        </w:rPr>
      </w:pPr>
    </w:p>
    <w:p w14:paraId="1F233E94" w14:textId="77777777" w:rsidR="003421CB" w:rsidRDefault="003421CB" w:rsidP="00B07ECF">
      <w:pPr>
        <w:spacing w:after="0" w:line="240" w:lineRule="auto"/>
        <w:rPr>
          <w:rFonts w:cstheme="minorHAnsi"/>
        </w:rPr>
      </w:pPr>
    </w:p>
    <w:tbl>
      <w:tblPr>
        <w:tblStyle w:val="TableGrid"/>
        <w:tblW w:w="5000" w:type="pct"/>
        <w:tblLook w:val="04A0" w:firstRow="1" w:lastRow="0" w:firstColumn="1" w:lastColumn="0" w:noHBand="0" w:noVBand="1"/>
      </w:tblPr>
      <w:tblGrid>
        <w:gridCol w:w="880"/>
        <w:gridCol w:w="1548"/>
        <w:gridCol w:w="1690"/>
        <w:gridCol w:w="6339"/>
      </w:tblGrid>
      <w:tr w:rsidR="003421CB" w:rsidRPr="000F5C5F" w14:paraId="029EF402" w14:textId="77777777" w:rsidTr="290496F1">
        <w:tc>
          <w:tcPr>
            <w:tcW w:w="421" w:type="pct"/>
            <w:shd w:val="clear" w:color="auto" w:fill="D9D9D9" w:themeFill="background1" w:themeFillShade="D9"/>
          </w:tcPr>
          <w:p w14:paraId="262467FE" w14:textId="77777777" w:rsidR="003421CB" w:rsidRPr="000F5C5F" w:rsidRDefault="003421CB" w:rsidP="00B07ECF">
            <w:pPr>
              <w:rPr>
                <w:rFonts w:cstheme="minorHAnsi"/>
                <w:b/>
                <w:sz w:val="18"/>
              </w:rPr>
            </w:pPr>
            <w:r w:rsidRPr="000F5C5F">
              <w:rPr>
                <w:rFonts w:cstheme="minorHAnsi"/>
                <w:b/>
                <w:sz w:val="18"/>
              </w:rPr>
              <w:t>Version</w:t>
            </w:r>
          </w:p>
        </w:tc>
        <w:tc>
          <w:tcPr>
            <w:tcW w:w="740" w:type="pct"/>
            <w:shd w:val="clear" w:color="auto" w:fill="D9D9D9" w:themeFill="background1" w:themeFillShade="D9"/>
          </w:tcPr>
          <w:p w14:paraId="5DB645E7" w14:textId="77777777" w:rsidR="003421CB" w:rsidRPr="000F5C5F" w:rsidRDefault="003421CB" w:rsidP="00B07ECF">
            <w:pPr>
              <w:rPr>
                <w:rFonts w:cstheme="minorHAnsi"/>
                <w:b/>
                <w:sz w:val="18"/>
              </w:rPr>
            </w:pPr>
            <w:r w:rsidRPr="000F5C5F">
              <w:rPr>
                <w:rFonts w:cstheme="minorHAnsi"/>
                <w:b/>
                <w:sz w:val="18"/>
              </w:rPr>
              <w:t>Date</w:t>
            </w:r>
          </w:p>
        </w:tc>
        <w:tc>
          <w:tcPr>
            <w:tcW w:w="808" w:type="pct"/>
            <w:shd w:val="clear" w:color="auto" w:fill="D9D9D9" w:themeFill="background1" w:themeFillShade="D9"/>
          </w:tcPr>
          <w:p w14:paraId="34A48576" w14:textId="77777777" w:rsidR="003421CB" w:rsidRPr="000F5C5F" w:rsidRDefault="003421CB">
            <w:pPr>
              <w:rPr>
                <w:rFonts w:cstheme="minorHAnsi"/>
                <w:b/>
                <w:sz w:val="18"/>
              </w:rPr>
            </w:pPr>
            <w:r w:rsidRPr="000F5C5F">
              <w:rPr>
                <w:rFonts w:cstheme="minorHAnsi"/>
                <w:b/>
                <w:sz w:val="18"/>
              </w:rPr>
              <w:t>Reviewer(s)</w:t>
            </w:r>
          </w:p>
        </w:tc>
        <w:tc>
          <w:tcPr>
            <w:tcW w:w="3031" w:type="pct"/>
            <w:shd w:val="clear" w:color="auto" w:fill="D9D9D9" w:themeFill="background1" w:themeFillShade="D9"/>
          </w:tcPr>
          <w:p w14:paraId="26A0D1D7" w14:textId="77777777" w:rsidR="003421CB" w:rsidRPr="000F5C5F" w:rsidRDefault="003421CB">
            <w:pPr>
              <w:rPr>
                <w:rFonts w:cstheme="minorHAnsi"/>
                <w:b/>
                <w:sz w:val="18"/>
              </w:rPr>
            </w:pPr>
            <w:r>
              <w:rPr>
                <w:rFonts w:cstheme="minorHAnsi"/>
                <w:b/>
                <w:sz w:val="18"/>
              </w:rPr>
              <w:t xml:space="preserve">Recommendation and </w:t>
            </w:r>
            <w:r w:rsidRPr="000F5C5F">
              <w:rPr>
                <w:rFonts w:cstheme="minorHAnsi"/>
                <w:b/>
                <w:sz w:val="18"/>
              </w:rPr>
              <w:t>Rationale</w:t>
            </w:r>
          </w:p>
        </w:tc>
      </w:tr>
      <w:tr w:rsidR="003421CB" w:rsidRPr="000F5C5F" w14:paraId="3C628723" w14:textId="77777777" w:rsidTr="290496F1">
        <w:tc>
          <w:tcPr>
            <w:tcW w:w="421" w:type="pct"/>
          </w:tcPr>
          <w:p w14:paraId="2703AE78" w14:textId="054354D2" w:rsidR="003421CB" w:rsidRPr="000F5C5F" w:rsidRDefault="008F51C0" w:rsidP="00B07ECF">
            <w:pPr>
              <w:rPr>
                <w:sz w:val="18"/>
                <w:szCs w:val="18"/>
              </w:rPr>
            </w:pPr>
            <w:r>
              <w:rPr>
                <w:sz w:val="18"/>
                <w:szCs w:val="18"/>
              </w:rPr>
              <w:t>1</w:t>
            </w:r>
          </w:p>
        </w:tc>
        <w:tc>
          <w:tcPr>
            <w:tcW w:w="740" w:type="pct"/>
          </w:tcPr>
          <w:p w14:paraId="5348FED9" w14:textId="4F01BE51" w:rsidR="003421CB" w:rsidRPr="000F5C5F" w:rsidRDefault="008F51C0" w:rsidP="00B07ECF">
            <w:pPr>
              <w:rPr>
                <w:rFonts w:cstheme="minorHAnsi"/>
                <w:sz w:val="18"/>
              </w:rPr>
            </w:pPr>
            <w:r>
              <w:rPr>
                <w:rFonts w:cstheme="minorHAnsi"/>
                <w:sz w:val="18"/>
              </w:rPr>
              <w:t>21 October 2021</w:t>
            </w:r>
          </w:p>
        </w:tc>
        <w:tc>
          <w:tcPr>
            <w:tcW w:w="808" w:type="pct"/>
          </w:tcPr>
          <w:p w14:paraId="32659FBA" w14:textId="7148F48A" w:rsidR="003421CB" w:rsidRPr="000F5C5F" w:rsidRDefault="008F51C0" w:rsidP="00B07ECF">
            <w:pPr>
              <w:rPr>
                <w:rFonts w:cstheme="minorHAnsi"/>
                <w:sz w:val="18"/>
              </w:rPr>
            </w:pPr>
            <w:r>
              <w:rPr>
                <w:rFonts w:cstheme="minorHAnsi"/>
                <w:sz w:val="18"/>
              </w:rPr>
              <w:t>MM</w:t>
            </w:r>
            <w:r w:rsidR="001B7F69">
              <w:rPr>
                <w:rFonts w:cstheme="minorHAnsi"/>
                <w:sz w:val="18"/>
              </w:rPr>
              <w:t>, CH, GT</w:t>
            </w:r>
          </w:p>
        </w:tc>
        <w:tc>
          <w:tcPr>
            <w:tcW w:w="3031" w:type="pct"/>
          </w:tcPr>
          <w:p w14:paraId="7FAD74B0" w14:textId="6B94F267" w:rsidR="003421CB" w:rsidRPr="000F5C5F" w:rsidRDefault="001B7F69" w:rsidP="001B7F69">
            <w:pPr>
              <w:autoSpaceDE w:val="0"/>
              <w:autoSpaceDN w:val="0"/>
              <w:adjustRightInd w:val="0"/>
              <w:rPr>
                <w:rFonts w:cstheme="minorHAnsi"/>
                <w:sz w:val="18"/>
              </w:rPr>
            </w:pPr>
            <w:r>
              <w:rPr>
                <w:rFonts w:cstheme="minorHAnsi"/>
                <w:sz w:val="18"/>
              </w:rPr>
              <w:t>Povidone iodine, topical retained for management of septic burns, as no</w:t>
            </w:r>
            <w:r w:rsidRPr="001B7F69">
              <w:rPr>
                <w:rFonts w:cstheme="minorHAnsi"/>
                <w:sz w:val="18"/>
              </w:rPr>
              <w:t xml:space="preserve"> new evidence </w:t>
            </w:r>
            <w:proofErr w:type="gramStart"/>
            <w:r w:rsidRPr="001B7F69">
              <w:rPr>
                <w:rFonts w:cstheme="minorHAnsi"/>
                <w:sz w:val="18"/>
              </w:rPr>
              <w:t>could be identified</w:t>
            </w:r>
            <w:proofErr w:type="gramEnd"/>
            <w:r w:rsidRPr="001B7F69">
              <w:rPr>
                <w:rFonts w:cstheme="minorHAnsi"/>
                <w:sz w:val="18"/>
              </w:rPr>
              <w:t xml:space="preserve"> for alternative treatment options for septic burns.</w:t>
            </w:r>
          </w:p>
        </w:tc>
      </w:tr>
    </w:tbl>
    <w:p w14:paraId="2AE725A7" w14:textId="77777777" w:rsidR="004F0E43" w:rsidRPr="00ED3B72" w:rsidRDefault="004F0E43" w:rsidP="00B07ECF">
      <w:pPr>
        <w:spacing w:after="0" w:line="240" w:lineRule="auto"/>
      </w:pPr>
    </w:p>
    <w:p w14:paraId="009C4CA4" w14:textId="57BCD991" w:rsidR="00ED3B72" w:rsidRPr="005C58C1" w:rsidRDefault="005C58C1" w:rsidP="00B07ECF">
      <w:pPr>
        <w:spacing w:after="0" w:line="240" w:lineRule="auto"/>
        <w:rPr>
          <w:i/>
          <w:iCs/>
        </w:rPr>
      </w:pPr>
      <w:r w:rsidRPr="290496F1">
        <w:rPr>
          <w:b/>
          <w:bCs/>
        </w:rPr>
        <w:t>References:</w:t>
      </w:r>
      <w:r w:rsidRPr="290496F1">
        <w:rPr>
          <w:i/>
          <w:iCs/>
        </w:rPr>
        <w:t xml:space="preserve"> </w:t>
      </w:r>
    </w:p>
    <w:p w14:paraId="10CB1198" w14:textId="23F67B9F" w:rsidR="00ED3B72" w:rsidRDefault="251042AB">
      <w:pPr>
        <w:spacing w:after="0" w:line="240" w:lineRule="auto"/>
        <w:rPr>
          <w:i/>
          <w:iCs/>
        </w:rPr>
      </w:pPr>
      <w:r w:rsidRPr="290496F1">
        <w:rPr>
          <w:i/>
          <w:iCs/>
        </w:rPr>
        <w:t>Included studies</w:t>
      </w:r>
    </w:p>
    <w:p w14:paraId="75EBAD24" w14:textId="4C27EF01" w:rsidR="00ED3B72" w:rsidRDefault="691FAE64">
      <w:pPr>
        <w:spacing w:after="0" w:line="240" w:lineRule="auto"/>
        <w:ind w:left="640" w:hanging="640"/>
      </w:pPr>
      <w:r w:rsidRPr="290496F1">
        <w:rPr>
          <w:rFonts w:ascii="Calibri" w:eastAsia="Calibri" w:hAnsi="Calibri" w:cs="Calibri"/>
        </w:rPr>
        <w:t xml:space="preserve">1. </w:t>
      </w:r>
      <w:r w:rsidR="00ED3B72">
        <w:tab/>
      </w:r>
      <w:proofErr w:type="spellStart"/>
      <w:r w:rsidRPr="290496F1">
        <w:rPr>
          <w:rFonts w:ascii="Calibri" w:eastAsia="Calibri" w:hAnsi="Calibri" w:cs="Calibri"/>
        </w:rPr>
        <w:t>Wasiak</w:t>
      </w:r>
      <w:proofErr w:type="spellEnd"/>
      <w:r w:rsidRPr="290496F1">
        <w:rPr>
          <w:rFonts w:ascii="Calibri" w:eastAsia="Calibri" w:hAnsi="Calibri" w:cs="Calibri"/>
        </w:rPr>
        <w:t xml:space="preserve"> J, Cleland H, Campbell F, Spinks A. Dressings for superficial and partial thickness burns. </w:t>
      </w:r>
      <w:r w:rsidRPr="290496F1">
        <w:rPr>
          <w:rFonts w:ascii="Calibri" w:eastAsia="Calibri" w:hAnsi="Calibri" w:cs="Calibri"/>
          <w:i/>
          <w:iCs/>
        </w:rPr>
        <w:t xml:space="preserve">Cochrane Database </w:t>
      </w:r>
      <w:proofErr w:type="spellStart"/>
      <w:r w:rsidRPr="290496F1">
        <w:rPr>
          <w:rFonts w:ascii="Calibri" w:eastAsia="Calibri" w:hAnsi="Calibri" w:cs="Calibri"/>
          <w:i/>
          <w:iCs/>
        </w:rPr>
        <w:t>Syst</w:t>
      </w:r>
      <w:proofErr w:type="spellEnd"/>
      <w:r w:rsidRPr="290496F1">
        <w:rPr>
          <w:rFonts w:ascii="Calibri" w:eastAsia="Calibri" w:hAnsi="Calibri" w:cs="Calibri"/>
          <w:i/>
          <w:iCs/>
        </w:rPr>
        <w:t xml:space="preserve"> Rev</w:t>
      </w:r>
      <w:r w:rsidRPr="290496F1">
        <w:rPr>
          <w:rFonts w:ascii="Calibri" w:eastAsia="Calibri" w:hAnsi="Calibri" w:cs="Calibri"/>
        </w:rPr>
        <w:t>. 2013</w:t>
      </w:r>
      <w:proofErr w:type="gramStart"/>
      <w:r w:rsidRPr="290496F1">
        <w:rPr>
          <w:rFonts w:ascii="Calibri" w:eastAsia="Calibri" w:hAnsi="Calibri" w:cs="Calibri"/>
        </w:rPr>
        <w:t>;2013</w:t>
      </w:r>
      <w:proofErr w:type="gramEnd"/>
      <w:r w:rsidRPr="290496F1">
        <w:rPr>
          <w:rFonts w:ascii="Calibri" w:eastAsia="Calibri" w:hAnsi="Calibri" w:cs="Calibri"/>
        </w:rPr>
        <w:t>(3). doi:10.1002/14651858.CD002106.pub4</w:t>
      </w:r>
    </w:p>
    <w:p w14:paraId="3D9FA6EB" w14:textId="6B88B066" w:rsidR="00ED3B72" w:rsidRDefault="691FAE64">
      <w:pPr>
        <w:spacing w:after="0" w:line="240" w:lineRule="auto"/>
        <w:ind w:left="640" w:hanging="640"/>
      </w:pPr>
      <w:r w:rsidRPr="290496F1">
        <w:rPr>
          <w:rFonts w:ascii="Calibri" w:eastAsia="Calibri" w:hAnsi="Calibri" w:cs="Calibri"/>
        </w:rPr>
        <w:t xml:space="preserve">2. </w:t>
      </w:r>
      <w:r w:rsidR="00ED3B72">
        <w:tab/>
      </w:r>
      <w:r w:rsidRPr="290496F1">
        <w:rPr>
          <w:rFonts w:ascii="Calibri" w:eastAsia="Calibri" w:hAnsi="Calibri" w:cs="Calibri"/>
        </w:rPr>
        <w:t xml:space="preserve">Barajas-Nava LA, </w:t>
      </w:r>
      <w:proofErr w:type="spellStart"/>
      <w:r w:rsidRPr="290496F1">
        <w:rPr>
          <w:rFonts w:ascii="Calibri" w:eastAsia="Calibri" w:hAnsi="Calibri" w:cs="Calibri"/>
        </w:rPr>
        <w:t>López-Alcalde</w:t>
      </w:r>
      <w:proofErr w:type="spellEnd"/>
      <w:r w:rsidRPr="290496F1">
        <w:rPr>
          <w:rFonts w:ascii="Calibri" w:eastAsia="Calibri" w:hAnsi="Calibri" w:cs="Calibri"/>
        </w:rPr>
        <w:t xml:space="preserve"> J, </w:t>
      </w:r>
      <w:proofErr w:type="spellStart"/>
      <w:r w:rsidRPr="290496F1">
        <w:rPr>
          <w:rFonts w:ascii="Calibri" w:eastAsia="Calibri" w:hAnsi="Calibri" w:cs="Calibri"/>
        </w:rPr>
        <w:t>Roquéi</w:t>
      </w:r>
      <w:proofErr w:type="spellEnd"/>
      <w:r w:rsidRPr="290496F1">
        <w:rPr>
          <w:rFonts w:ascii="Calibri" w:eastAsia="Calibri" w:hAnsi="Calibri" w:cs="Calibri"/>
        </w:rPr>
        <w:t xml:space="preserve"> </w:t>
      </w:r>
      <w:proofErr w:type="spellStart"/>
      <w:r w:rsidRPr="290496F1">
        <w:rPr>
          <w:rFonts w:ascii="Calibri" w:eastAsia="Calibri" w:hAnsi="Calibri" w:cs="Calibri"/>
        </w:rPr>
        <w:t>Figuls</w:t>
      </w:r>
      <w:proofErr w:type="spellEnd"/>
      <w:r w:rsidRPr="290496F1">
        <w:rPr>
          <w:rFonts w:ascii="Calibri" w:eastAsia="Calibri" w:hAnsi="Calibri" w:cs="Calibri"/>
        </w:rPr>
        <w:t xml:space="preserve"> M, </w:t>
      </w:r>
      <w:proofErr w:type="spellStart"/>
      <w:r w:rsidRPr="290496F1">
        <w:rPr>
          <w:rFonts w:ascii="Calibri" w:eastAsia="Calibri" w:hAnsi="Calibri" w:cs="Calibri"/>
        </w:rPr>
        <w:t>Solà</w:t>
      </w:r>
      <w:proofErr w:type="spellEnd"/>
      <w:r w:rsidRPr="290496F1">
        <w:rPr>
          <w:rFonts w:ascii="Calibri" w:eastAsia="Calibri" w:hAnsi="Calibri" w:cs="Calibri"/>
        </w:rPr>
        <w:t xml:space="preserve"> I, </w:t>
      </w:r>
      <w:proofErr w:type="spellStart"/>
      <w:r w:rsidRPr="290496F1">
        <w:rPr>
          <w:rFonts w:ascii="Calibri" w:eastAsia="Calibri" w:hAnsi="Calibri" w:cs="Calibri"/>
        </w:rPr>
        <w:t>Bonfill</w:t>
      </w:r>
      <w:proofErr w:type="spellEnd"/>
      <w:r w:rsidRPr="290496F1">
        <w:rPr>
          <w:rFonts w:ascii="Calibri" w:eastAsia="Calibri" w:hAnsi="Calibri" w:cs="Calibri"/>
        </w:rPr>
        <w:t xml:space="preserve"> </w:t>
      </w:r>
      <w:proofErr w:type="spellStart"/>
      <w:r w:rsidRPr="290496F1">
        <w:rPr>
          <w:rFonts w:ascii="Calibri" w:eastAsia="Calibri" w:hAnsi="Calibri" w:cs="Calibri"/>
        </w:rPr>
        <w:t>Cosp</w:t>
      </w:r>
      <w:proofErr w:type="spellEnd"/>
      <w:r w:rsidRPr="290496F1">
        <w:rPr>
          <w:rFonts w:ascii="Calibri" w:eastAsia="Calibri" w:hAnsi="Calibri" w:cs="Calibri"/>
        </w:rPr>
        <w:t xml:space="preserve"> X. Antibiotic prophylaxis for preventing burn wound infection. </w:t>
      </w:r>
      <w:r w:rsidRPr="290496F1">
        <w:rPr>
          <w:rFonts w:ascii="Calibri" w:eastAsia="Calibri" w:hAnsi="Calibri" w:cs="Calibri"/>
          <w:i/>
          <w:iCs/>
        </w:rPr>
        <w:t xml:space="preserve">Cochrane Database </w:t>
      </w:r>
      <w:proofErr w:type="spellStart"/>
      <w:r w:rsidRPr="290496F1">
        <w:rPr>
          <w:rFonts w:ascii="Calibri" w:eastAsia="Calibri" w:hAnsi="Calibri" w:cs="Calibri"/>
          <w:i/>
          <w:iCs/>
        </w:rPr>
        <w:t>Syst</w:t>
      </w:r>
      <w:proofErr w:type="spellEnd"/>
      <w:r w:rsidRPr="290496F1">
        <w:rPr>
          <w:rFonts w:ascii="Calibri" w:eastAsia="Calibri" w:hAnsi="Calibri" w:cs="Calibri"/>
          <w:i/>
          <w:iCs/>
        </w:rPr>
        <w:t xml:space="preserve"> Rev</w:t>
      </w:r>
      <w:r w:rsidRPr="290496F1">
        <w:rPr>
          <w:rFonts w:ascii="Calibri" w:eastAsia="Calibri" w:hAnsi="Calibri" w:cs="Calibri"/>
        </w:rPr>
        <w:t>. 2013</w:t>
      </w:r>
      <w:proofErr w:type="gramStart"/>
      <w:r w:rsidRPr="290496F1">
        <w:rPr>
          <w:rFonts w:ascii="Calibri" w:eastAsia="Calibri" w:hAnsi="Calibri" w:cs="Calibri"/>
        </w:rPr>
        <w:t>;2013</w:t>
      </w:r>
      <w:proofErr w:type="gramEnd"/>
      <w:r w:rsidRPr="290496F1">
        <w:rPr>
          <w:rFonts w:ascii="Calibri" w:eastAsia="Calibri" w:hAnsi="Calibri" w:cs="Calibri"/>
        </w:rPr>
        <w:t>(6). doi:10.1002/14651858.CD008738.pub2</w:t>
      </w:r>
    </w:p>
    <w:p w14:paraId="78FD29B7" w14:textId="15D82346" w:rsidR="00ED3B72" w:rsidRDefault="691FAE64">
      <w:pPr>
        <w:spacing w:after="0" w:line="240" w:lineRule="auto"/>
        <w:ind w:left="640" w:hanging="640"/>
      </w:pPr>
      <w:r w:rsidRPr="290496F1">
        <w:rPr>
          <w:rFonts w:ascii="Calibri" w:eastAsia="Calibri" w:hAnsi="Calibri" w:cs="Calibri"/>
        </w:rPr>
        <w:t xml:space="preserve">3. </w:t>
      </w:r>
      <w:r w:rsidR="00ED3B72">
        <w:tab/>
      </w:r>
      <w:proofErr w:type="spellStart"/>
      <w:r w:rsidRPr="290496F1">
        <w:rPr>
          <w:rFonts w:ascii="Calibri" w:eastAsia="Calibri" w:hAnsi="Calibri" w:cs="Calibri"/>
        </w:rPr>
        <w:t>Nímia</w:t>
      </w:r>
      <w:proofErr w:type="spellEnd"/>
      <w:r w:rsidRPr="290496F1">
        <w:rPr>
          <w:rFonts w:ascii="Calibri" w:eastAsia="Calibri" w:hAnsi="Calibri" w:cs="Calibri"/>
        </w:rPr>
        <w:t xml:space="preserve"> HH, </w:t>
      </w:r>
      <w:proofErr w:type="spellStart"/>
      <w:r w:rsidRPr="290496F1">
        <w:rPr>
          <w:rFonts w:ascii="Calibri" w:eastAsia="Calibri" w:hAnsi="Calibri" w:cs="Calibri"/>
        </w:rPr>
        <w:t>Carvalho</w:t>
      </w:r>
      <w:proofErr w:type="spellEnd"/>
      <w:r w:rsidRPr="290496F1">
        <w:rPr>
          <w:rFonts w:ascii="Calibri" w:eastAsia="Calibri" w:hAnsi="Calibri" w:cs="Calibri"/>
        </w:rPr>
        <w:t xml:space="preserve"> VF, Isaac C, Souza FÁ, </w:t>
      </w:r>
      <w:proofErr w:type="spellStart"/>
      <w:r w:rsidRPr="290496F1">
        <w:rPr>
          <w:rFonts w:ascii="Calibri" w:eastAsia="Calibri" w:hAnsi="Calibri" w:cs="Calibri"/>
        </w:rPr>
        <w:t>Gemperli</w:t>
      </w:r>
      <w:proofErr w:type="spellEnd"/>
      <w:r w:rsidRPr="290496F1">
        <w:rPr>
          <w:rFonts w:ascii="Calibri" w:eastAsia="Calibri" w:hAnsi="Calibri" w:cs="Calibri"/>
        </w:rPr>
        <w:t xml:space="preserve"> R, </w:t>
      </w:r>
      <w:proofErr w:type="spellStart"/>
      <w:r w:rsidRPr="290496F1">
        <w:rPr>
          <w:rFonts w:ascii="Calibri" w:eastAsia="Calibri" w:hAnsi="Calibri" w:cs="Calibri"/>
        </w:rPr>
        <w:t>Paggiaro</w:t>
      </w:r>
      <w:proofErr w:type="spellEnd"/>
      <w:r w:rsidRPr="290496F1">
        <w:rPr>
          <w:rFonts w:ascii="Calibri" w:eastAsia="Calibri" w:hAnsi="Calibri" w:cs="Calibri"/>
        </w:rPr>
        <w:t xml:space="preserve"> AO. Comparative study of Silver Sulfadiazine with other materials for healing and infection prevention in burns: A systematic review and meta-analysis. </w:t>
      </w:r>
      <w:r w:rsidRPr="290496F1">
        <w:rPr>
          <w:rFonts w:ascii="Calibri" w:eastAsia="Calibri" w:hAnsi="Calibri" w:cs="Calibri"/>
          <w:i/>
          <w:iCs/>
        </w:rPr>
        <w:t>Burns</w:t>
      </w:r>
      <w:r w:rsidRPr="290496F1">
        <w:rPr>
          <w:rFonts w:ascii="Calibri" w:eastAsia="Calibri" w:hAnsi="Calibri" w:cs="Calibri"/>
        </w:rPr>
        <w:t>. 2019</w:t>
      </w:r>
      <w:proofErr w:type="gramStart"/>
      <w:r w:rsidRPr="290496F1">
        <w:rPr>
          <w:rFonts w:ascii="Calibri" w:eastAsia="Calibri" w:hAnsi="Calibri" w:cs="Calibri"/>
        </w:rPr>
        <w:t>;45</w:t>
      </w:r>
      <w:proofErr w:type="gramEnd"/>
      <w:r w:rsidRPr="290496F1">
        <w:rPr>
          <w:rFonts w:ascii="Calibri" w:eastAsia="Calibri" w:hAnsi="Calibri" w:cs="Calibri"/>
        </w:rPr>
        <w:t>(2):282-292. doi:10.1016/j.burns.2018.05.014</w:t>
      </w:r>
    </w:p>
    <w:p w14:paraId="78FC90DD" w14:textId="1AEFE7BA" w:rsidR="00ED3B72" w:rsidRDefault="691FAE64">
      <w:pPr>
        <w:spacing w:after="0" w:line="240" w:lineRule="auto"/>
        <w:ind w:left="640" w:hanging="640"/>
      </w:pPr>
      <w:r w:rsidRPr="290496F1">
        <w:rPr>
          <w:rFonts w:ascii="Calibri" w:eastAsia="Calibri" w:hAnsi="Calibri" w:cs="Calibri"/>
        </w:rPr>
        <w:t xml:space="preserve">4. </w:t>
      </w:r>
      <w:r w:rsidR="00ED3B72">
        <w:tab/>
      </w:r>
      <w:proofErr w:type="spellStart"/>
      <w:r w:rsidRPr="290496F1">
        <w:rPr>
          <w:rFonts w:ascii="Calibri" w:eastAsia="Calibri" w:hAnsi="Calibri" w:cs="Calibri"/>
        </w:rPr>
        <w:t>Siqueira</w:t>
      </w:r>
      <w:proofErr w:type="spellEnd"/>
      <w:r w:rsidRPr="290496F1">
        <w:rPr>
          <w:rFonts w:ascii="Calibri" w:eastAsia="Calibri" w:hAnsi="Calibri" w:cs="Calibri"/>
        </w:rPr>
        <w:t xml:space="preserve"> BS, </w:t>
      </w:r>
      <w:proofErr w:type="spellStart"/>
      <w:r w:rsidRPr="290496F1">
        <w:rPr>
          <w:rFonts w:ascii="Calibri" w:eastAsia="Calibri" w:hAnsi="Calibri" w:cs="Calibri"/>
        </w:rPr>
        <w:t>Zanette</w:t>
      </w:r>
      <w:proofErr w:type="spellEnd"/>
      <w:r w:rsidRPr="290496F1">
        <w:rPr>
          <w:rFonts w:ascii="Calibri" w:eastAsia="Calibri" w:hAnsi="Calibri" w:cs="Calibri"/>
        </w:rPr>
        <w:t xml:space="preserve"> GF. Versus Other </w:t>
      </w:r>
      <w:proofErr w:type="gramStart"/>
      <w:r w:rsidRPr="290496F1">
        <w:rPr>
          <w:rFonts w:ascii="Calibri" w:eastAsia="Calibri" w:hAnsi="Calibri" w:cs="Calibri"/>
        </w:rPr>
        <w:t>Treatments :</w:t>
      </w:r>
      <w:proofErr w:type="gramEnd"/>
      <w:r w:rsidRPr="290496F1">
        <w:rPr>
          <w:rFonts w:ascii="Calibri" w:eastAsia="Calibri" w:hAnsi="Calibri" w:cs="Calibri"/>
        </w:rPr>
        <w:t xml:space="preserve"> a Systematic Review and Meta-Analysis of. </w:t>
      </w:r>
      <w:proofErr w:type="gramStart"/>
      <w:r w:rsidRPr="290496F1">
        <w:rPr>
          <w:rFonts w:ascii="Calibri" w:eastAsia="Calibri" w:hAnsi="Calibri" w:cs="Calibri"/>
          <w:i/>
          <w:iCs/>
        </w:rPr>
        <w:t>An</w:t>
      </w:r>
      <w:proofErr w:type="gramEnd"/>
      <w:r w:rsidRPr="290496F1">
        <w:rPr>
          <w:rFonts w:ascii="Calibri" w:eastAsia="Calibri" w:hAnsi="Calibri" w:cs="Calibri"/>
          <w:i/>
          <w:iCs/>
        </w:rPr>
        <w:t xml:space="preserve"> Bras </w:t>
      </w:r>
      <w:proofErr w:type="spellStart"/>
      <w:r w:rsidRPr="290496F1">
        <w:rPr>
          <w:rFonts w:ascii="Calibri" w:eastAsia="Calibri" w:hAnsi="Calibri" w:cs="Calibri"/>
          <w:i/>
          <w:iCs/>
        </w:rPr>
        <w:t>Dermatol</w:t>
      </w:r>
      <w:proofErr w:type="spellEnd"/>
      <w:r w:rsidRPr="290496F1">
        <w:rPr>
          <w:rFonts w:ascii="Calibri" w:eastAsia="Calibri" w:hAnsi="Calibri" w:cs="Calibri"/>
        </w:rPr>
        <w:t>. 2019</w:t>
      </w:r>
      <w:proofErr w:type="gramStart"/>
      <w:r w:rsidRPr="290496F1">
        <w:rPr>
          <w:rFonts w:ascii="Calibri" w:eastAsia="Calibri" w:hAnsi="Calibri" w:cs="Calibri"/>
        </w:rPr>
        <w:t>;94</w:t>
      </w:r>
      <w:proofErr w:type="gramEnd"/>
      <w:r w:rsidRPr="290496F1">
        <w:rPr>
          <w:rFonts w:ascii="Calibri" w:eastAsia="Calibri" w:hAnsi="Calibri" w:cs="Calibri"/>
        </w:rPr>
        <w:t>(2):204-210.</w:t>
      </w:r>
    </w:p>
    <w:p w14:paraId="15100982" w14:textId="01F6BA1F" w:rsidR="00ED3B72" w:rsidRDefault="691FAE64">
      <w:pPr>
        <w:spacing w:after="0" w:line="240" w:lineRule="auto"/>
        <w:ind w:left="640" w:hanging="640"/>
      </w:pPr>
      <w:r w:rsidRPr="290496F1">
        <w:rPr>
          <w:rFonts w:ascii="Calibri" w:eastAsia="Calibri" w:hAnsi="Calibri" w:cs="Calibri"/>
        </w:rPr>
        <w:t xml:space="preserve">5. </w:t>
      </w:r>
      <w:r w:rsidR="00ED3B72">
        <w:tab/>
      </w:r>
      <w:proofErr w:type="spellStart"/>
      <w:r w:rsidRPr="290496F1">
        <w:rPr>
          <w:rFonts w:ascii="Calibri" w:eastAsia="Calibri" w:hAnsi="Calibri" w:cs="Calibri"/>
        </w:rPr>
        <w:t>Chaganti</w:t>
      </w:r>
      <w:proofErr w:type="spellEnd"/>
      <w:r w:rsidRPr="290496F1">
        <w:rPr>
          <w:rFonts w:ascii="Calibri" w:eastAsia="Calibri" w:hAnsi="Calibri" w:cs="Calibri"/>
        </w:rPr>
        <w:t xml:space="preserve"> P, Gordon I, Chao JH, </w:t>
      </w:r>
      <w:proofErr w:type="spellStart"/>
      <w:r w:rsidRPr="290496F1">
        <w:rPr>
          <w:rFonts w:ascii="Calibri" w:eastAsia="Calibri" w:hAnsi="Calibri" w:cs="Calibri"/>
        </w:rPr>
        <w:t>Zehtabchi</w:t>
      </w:r>
      <w:proofErr w:type="spellEnd"/>
      <w:r w:rsidRPr="290496F1">
        <w:rPr>
          <w:rFonts w:ascii="Calibri" w:eastAsia="Calibri" w:hAnsi="Calibri" w:cs="Calibri"/>
        </w:rPr>
        <w:t xml:space="preserve"> S. A systematic review of foam dressings for partial thickness burns. </w:t>
      </w:r>
      <w:r w:rsidRPr="290496F1">
        <w:rPr>
          <w:rFonts w:ascii="Calibri" w:eastAsia="Calibri" w:hAnsi="Calibri" w:cs="Calibri"/>
          <w:i/>
          <w:iCs/>
        </w:rPr>
        <w:t xml:space="preserve">Am J </w:t>
      </w:r>
      <w:proofErr w:type="spellStart"/>
      <w:r w:rsidRPr="290496F1">
        <w:rPr>
          <w:rFonts w:ascii="Calibri" w:eastAsia="Calibri" w:hAnsi="Calibri" w:cs="Calibri"/>
          <w:i/>
          <w:iCs/>
        </w:rPr>
        <w:t>Emerg</w:t>
      </w:r>
      <w:proofErr w:type="spellEnd"/>
      <w:r w:rsidRPr="290496F1">
        <w:rPr>
          <w:rFonts w:ascii="Calibri" w:eastAsia="Calibri" w:hAnsi="Calibri" w:cs="Calibri"/>
          <w:i/>
          <w:iCs/>
        </w:rPr>
        <w:t xml:space="preserve"> Med</w:t>
      </w:r>
      <w:r w:rsidRPr="290496F1">
        <w:rPr>
          <w:rFonts w:ascii="Calibri" w:eastAsia="Calibri" w:hAnsi="Calibri" w:cs="Calibri"/>
        </w:rPr>
        <w:t>. 2019</w:t>
      </w:r>
      <w:proofErr w:type="gramStart"/>
      <w:r w:rsidRPr="290496F1">
        <w:rPr>
          <w:rFonts w:ascii="Calibri" w:eastAsia="Calibri" w:hAnsi="Calibri" w:cs="Calibri"/>
        </w:rPr>
        <w:t>;37</w:t>
      </w:r>
      <w:proofErr w:type="gramEnd"/>
      <w:r w:rsidRPr="290496F1">
        <w:rPr>
          <w:rFonts w:ascii="Calibri" w:eastAsia="Calibri" w:hAnsi="Calibri" w:cs="Calibri"/>
        </w:rPr>
        <w:t>(6):1184-1190. doi:10.1016/j.ajem.2019.04.014</w:t>
      </w:r>
    </w:p>
    <w:p w14:paraId="7FAEEAA4" w14:textId="2B3E8C87" w:rsidR="00ED3B72" w:rsidRDefault="691FAE64">
      <w:pPr>
        <w:spacing w:after="0" w:line="240" w:lineRule="auto"/>
        <w:ind w:left="640" w:hanging="640"/>
      </w:pPr>
      <w:r w:rsidRPr="290496F1">
        <w:rPr>
          <w:rFonts w:ascii="Calibri" w:eastAsia="Calibri" w:hAnsi="Calibri" w:cs="Calibri"/>
        </w:rPr>
        <w:t xml:space="preserve">6. </w:t>
      </w:r>
      <w:r w:rsidR="00ED3B72">
        <w:tab/>
      </w:r>
      <w:r w:rsidRPr="290496F1">
        <w:rPr>
          <w:rFonts w:ascii="Calibri" w:eastAsia="Calibri" w:hAnsi="Calibri" w:cs="Calibri"/>
        </w:rPr>
        <w:t xml:space="preserve">Norman G, Christie J, Liu Z, et al. Antiseptics for burns. </w:t>
      </w:r>
      <w:r w:rsidRPr="290496F1">
        <w:rPr>
          <w:rFonts w:ascii="Calibri" w:eastAsia="Calibri" w:hAnsi="Calibri" w:cs="Calibri"/>
          <w:i/>
          <w:iCs/>
        </w:rPr>
        <w:t xml:space="preserve">Cochrane Database </w:t>
      </w:r>
      <w:proofErr w:type="spellStart"/>
      <w:r w:rsidRPr="290496F1">
        <w:rPr>
          <w:rFonts w:ascii="Calibri" w:eastAsia="Calibri" w:hAnsi="Calibri" w:cs="Calibri"/>
          <w:i/>
          <w:iCs/>
        </w:rPr>
        <w:t>Syst</w:t>
      </w:r>
      <w:proofErr w:type="spellEnd"/>
      <w:r w:rsidRPr="290496F1">
        <w:rPr>
          <w:rFonts w:ascii="Calibri" w:eastAsia="Calibri" w:hAnsi="Calibri" w:cs="Calibri"/>
          <w:i/>
          <w:iCs/>
        </w:rPr>
        <w:t xml:space="preserve"> Rev</w:t>
      </w:r>
      <w:r w:rsidRPr="290496F1">
        <w:rPr>
          <w:rFonts w:ascii="Calibri" w:eastAsia="Calibri" w:hAnsi="Calibri" w:cs="Calibri"/>
        </w:rPr>
        <w:t>. 2017</w:t>
      </w:r>
      <w:proofErr w:type="gramStart"/>
      <w:r w:rsidRPr="290496F1">
        <w:rPr>
          <w:rFonts w:ascii="Calibri" w:eastAsia="Calibri" w:hAnsi="Calibri" w:cs="Calibri"/>
        </w:rPr>
        <w:t>;2017</w:t>
      </w:r>
      <w:proofErr w:type="gramEnd"/>
      <w:r w:rsidRPr="290496F1">
        <w:rPr>
          <w:rFonts w:ascii="Calibri" w:eastAsia="Calibri" w:hAnsi="Calibri" w:cs="Calibri"/>
        </w:rPr>
        <w:t>(7). doi:10.1002/14651858.CD011821.pub2</w:t>
      </w:r>
    </w:p>
    <w:p w14:paraId="29A98691" w14:textId="17249CB0" w:rsidR="00ED3B72" w:rsidRDefault="691FAE64">
      <w:pPr>
        <w:spacing w:after="0" w:line="240" w:lineRule="auto"/>
        <w:ind w:left="640" w:hanging="640"/>
      </w:pPr>
      <w:r w:rsidRPr="290496F1">
        <w:rPr>
          <w:rFonts w:ascii="Calibri" w:eastAsia="Calibri" w:hAnsi="Calibri" w:cs="Calibri"/>
        </w:rPr>
        <w:t xml:space="preserve">7. </w:t>
      </w:r>
      <w:r w:rsidR="00ED3B72">
        <w:tab/>
      </w:r>
      <w:proofErr w:type="spellStart"/>
      <w:r w:rsidRPr="290496F1">
        <w:rPr>
          <w:rFonts w:ascii="Calibri" w:eastAsia="Calibri" w:hAnsi="Calibri" w:cs="Calibri"/>
        </w:rPr>
        <w:t>Hoogewerf</w:t>
      </w:r>
      <w:proofErr w:type="spellEnd"/>
      <w:r w:rsidRPr="290496F1">
        <w:rPr>
          <w:rFonts w:ascii="Calibri" w:eastAsia="Calibri" w:hAnsi="Calibri" w:cs="Calibri"/>
        </w:rPr>
        <w:t xml:space="preserve"> CJ, Hop MJ, </w:t>
      </w:r>
      <w:proofErr w:type="spellStart"/>
      <w:r w:rsidRPr="290496F1">
        <w:rPr>
          <w:rFonts w:ascii="Calibri" w:eastAsia="Calibri" w:hAnsi="Calibri" w:cs="Calibri"/>
        </w:rPr>
        <w:t>Nieuwenhuis</w:t>
      </w:r>
      <w:proofErr w:type="spellEnd"/>
      <w:r w:rsidRPr="290496F1">
        <w:rPr>
          <w:rFonts w:ascii="Calibri" w:eastAsia="Calibri" w:hAnsi="Calibri" w:cs="Calibri"/>
        </w:rPr>
        <w:t xml:space="preserve"> MK, </w:t>
      </w:r>
      <w:proofErr w:type="spellStart"/>
      <w:r w:rsidRPr="290496F1">
        <w:rPr>
          <w:rFonts w:ascii="Calibri" w:eastAsia="Calibri" w:hAnsi="Calibri" w:cs="Calibri"/>
        </w:rPr>
        <w:t>Oen</w:t>
      </w:r>
      <w:proofErr w:type="spellEnd"/>
      <w:r w:rsidRPr="290496F1">
        <w:rPr>
          <w:rFonts w:ascii="Calibri" w:eastAsia="Calibri" w:hAnsi="Calibri" w:cs="Calibri"/>
        </w:rPr>
        <w:t xml:space="preserve"> IMMH, </w:t>
      </w:r>
      <w:proofErr w:type="spellStart"/>
      <w:r w:rsidRPr="290496F1">
        <w:rPr>
          <w:rFonts w:ascii="Calibri" w:eastAsia="Calibri" w:hAnsi="Calibri" w:cs="Calibri"/>
        </w:rPr>
        <w:t>Middelkoop</w:t>
      </w:r>
      <w:proofErr w:type="spellEnd"/>
      <w:r w:rsidRPr="290496F1">
        <w:rPr>
          <w:rFonts w:ascii="Calibri" w:eastAsia="Calibri" w:hAnsi="Calibri" w:cs="Calibri"/>
        </w:rPr>
        <w:t xml:space="preserve"> E, Van </w:t>
      </w:r>
      <w:proofErr w:type="spellStart"/>
      <w:r w:rsidRPr="290496F1">
        <w:rPr>
          <w:rFonts w:ascii="Calibri" w:eastAsia="Calibri" w:hAnsi="Calibri" w:cs="Calibri"/>
        </w:rPr>
        <w:t>Baar</w:t>
      </w:r>
      <w:proofErr w:type="spellEnd"/>
      <w:r w:rsidRPr="290496F1">
        <w:rPr>
          <w:rFonts w:ascii="Calibri" w:eastAsia="Calibri" w:hAnsi="Calibri" w:cs="Calibri"/>
        </w:rPr>
        <w:t xml:space="preserve"> ME. Topical treatment for facial burns. </w:t>
      </w:r>
      <w:r w:rsidRPr="290496F1">
        <w:rPr>
          <w:rFonts w:ascii="Calibri" w:eastAsia="Calibri" w:hAnsi="Calibri" w:cs="Calibri"/>
          <w:i/>
          <w:iCs/>
        </w:rPr>
        <w:t xml:space="preserve">Cochrane Database </w:t>
      </w:r>
      <w:proofErr w:type="spellStart"/>
      <w:r w:rsidRPr="290496F1">
        <w:rPr>
          <w:rFonts w:ascii="Calibri" w:eastAsia="Calibri" w:hAnsi="Calibri" w:cs="Calibri"/>
          <w:i/>
          <w:iCs/>
        </w:rPr>
        <w:t>Syst</w:t>
      </w:r>
      <w:proofErr w:type="spellEnd"/>
      <w:r w:rsidRPr="290496F1">
        <w:rPr>
          <w:rFonts w:ascii="Calibri" w:eastAsia="Calibri" w:hAnsi="Calibri" w:cs="Calibri"/>
          <w:i/>
          <w:iCs/>
        </w:rPr>
        <w:t xml:space="preserve"> Rev</w:t>
      </w:r>
      <w:r w:rsidRPr="290496F1">
        <w:rPr>
          <w:rFonts w:ascii="Calibri" w:eastAsia="Calibri" w:hAnsi="Calibri" w:cs="Calibri"/>
        </w:rPr>
        <w:t>. 2020</w:t>
      </w:r>
      <w:proofErr w:type="gramStart"/>
      <w:r w:rsidRPr="290496F1">
        <w:rPr>
          <w:rFonts w:ascii="Calibri" w:eastAsia="Calibri" w:hAnsi="Calibri" w:cs="Calibri"/>
        </w:rPr>
        <w:t>;2020</w:t>
      </w:r>
      <w:proofErr w:type="gramEnd"/>
      <w:r w:rsidRPr="290496F1">
        <w:rPr>
          <w:rFonts w:ascii="Calibri" w:eastAsia="Calibri" w:hAnsi="Calibri" w:cs="Calibri"/>
        </w:rPr>
        <w:t>(7). doi:10.1002/14651858.CD008058.pub3</w:t>
      </w:r>
    </w:p>
    <w:p w14:paraId="4CC9E606" w14:textId="14FE0AFC" w:rsidR="00662E1B" w:rsidRPr="00662E1B" w:rsidRDefault="00662E1B">
      <w:pPr>
        <w:spacing w:after="0" w:line="240" w:lineRule="auto"/>
        <w:rPr>
          <w:color w:val="808080" w:themeColor="background1" w:themeShade="80"/>
          <w:sz w:val="20"/>
          <w:szCs w:val="20"/>
        </w:rPr>
      </w:pPr>
    </w:p>
    <w:sectPr w:rsidR="00662E1B" w:rsidRPr="00662E1B" w:rsidSect="00CB67E3">
      <w:pgSz w:w="11907" w:h="1683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44AF0" w14:textId="77777777" w:rsidR="00641826" w:rsidRDefault="00641826">
      <w:pPr>
        <w:spacing w:after="0" w:line="240" w:lineRule="auto"/>
      </w:pPr>
      <w:r>
        <w:separator/>
      </w:r>
    </w:p>
  </w:endnote>
  <w:endnote w:type="continuationSeparator" w:id="0">
    <w:p w14:paraId="2F750779" w14:textId="77777777" w:rsidR="00641826" w:rsidRDefault="0064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Cambria Math"/>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A7F0F" w14:textId="77777777" w:rsidR="005660BB" w:rsidRDefault="00566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3162"/>
      <w:docPartObj>
        <w:docPartGallery w:val="Page Numbers (Bottom of Page)"/>
        <w:docPartUnique/>
      </w:docPartObj>
    </w:sdtPr>
    <w:sdtEndPr/>
    <w:sdtContent>
      <w:p w14:paraId="2E137FC9" w14:textId="714C47B2" w:rsidR="00662E1B" w:rsidRDefault="008F51C0" w:rsidP="008F51C0">
        <w:pPr>
          <w:pStyle w:val="Footer"/>
          <w:jc w:val="center"/>
        </w:pPr>
        <w:r w:rsidRPr="008F51C0">
          <w:t xml:space="preserve">Burn </w:t>
        </w:r>
        <w:proofErr w:type="spellStart"/>
        <w:r w:rsidRPr="008F51C0">
          <w:t>Dressings_Scoping</w:t>
        </w:r>
        <w:proofErr w:type="spellEnd"/>
        <w:r w:rsidRPr="008F51C0">
          <w:t xml:space="preserve"> Review_PHC-Adults_21October2021_</w:t>
        </w:r>
        <w:r w:rsidR="005660BB">
          <w:t>Final</w:t>
        </w:r>
        <w:r w:rsidR="005660BB">
          <w:tab/>
        </w:r>
        <w:r w:rsidR="005660BB">
          <w:tab/>
        </w:r>
        <w:r w:rsidR="005660BB">
          <w:tab/>
        </w:r>
        <w:bookmarkStart w:id="0" w:name="_GoBack"/>
        <w:bookmarkEnd w:id="0"/>
        <w:r w:rsidR="006E3C27">
          <w:fldChar w:fldCharType="begin"/>
        </w:r>
        <w:r w:rsidR="00662E1B">
          <w:instrText xml:space="preserve"> PAGE   \* MERGEFORMAT </w:instrText>
        </w:r>
        <w:r w:rsidR="006E3C27">
          <w:fldChar w:fldCharType="separate"/>
        </w:r>
        <w:r w:rsidR="005660BB">
          <w:rPr>
            <w:noProof/>
          </w:rPr>
          <w:t>1</w:t>
        </w:r>
        <w:r w:rsidR="006E3C27">
          <w:fldChar w:fldCharType="end"/>
        </w:r>
      </w:p>
    </w:sdtContent>
  </w:sdt>
  <w:p w14:paraId="3D1A13EB" w14:textId="77777777" w:rsidR="00662E1B" w:rsidRDefault="00662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FC202" w14:textId="77777777" w:rsidR="005660BB" w:rsidRDefault="00566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7C4FD" w14:textId="77777777" w:rsidR="00641826" w:rsidRDefault="00641826">
      <w:pPr>
        <w:spacing w:after="0" w:line="240" w:lineRule="auto"/>
      </w:pPr>
      <w:r>
        <w:separator/>
      </w:r>
    </w:p>
  </w:footnote>
  <w:footnote w:type="continuationSeparator" w:id="0">
    <w:p w14:paraId="202F5461" w14:textId="77777777" w:rsidR="00641826" w:rsidRDefault="00641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17FB1" w14:textId="6878C1D9" w:rsidR="00E3294F" w:rsidRDefault="00E32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0293" w14:textId="7BB18569" w:rsidR="00E3294F" w:rsidRDefault="00E32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9944" w14:textId="2378B306" w:rsidR="00E3294F" w:rsidRDefault="00E32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43FA"/>
    <w:multiLevelType w:val="hybridMultilevel"/>
    <w:tmpl w:val="0EBE00AA"/>
    <w:lvl w:ilvl="0" w:tplc="77707842">
      <w:start w:val="1"/>
      <w:numFmt w:val="decimal"/>
      <w:lvlText w:val="%1."/>
      <w:lvlJc w:val="left"/>
      <w:pPr>
        <w:ind w:left="630" w:hanging="360"/>
      </w:pPr>
      <w:rPr>
        <w:b/>
        <w:i w:val="0"/>
      </w:rPr>
    </w:lvl>
    <w:lvl w:ilvl="1" w:tplc="EFDC7328">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F5628E"/>
    <w:multiLevelType w:val="hybridMultilevel"/>
    <w:tmpl w:val="4DC623FE"/>
    <w:lvl w:ilvl="0" w:tplc="F2343908">
      <w:start w:val="1"/>
      <w:numFmt w:val="bullet"/>
      <w:lvlText w:val=""/>
      <w:lvlJc w:val="left"/>
      <w:pPr>
        <w:ind w:left="720" w:hanging="360"/>
      </w:pPr>
      <w:rPr>
        <w:rFonts w:ascii="Wingdings 3" w:hAnsi="Wingdings 3" w:hint="default"/>
        <w:color w:val="215868" w:themeColor="accent5"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47DBE"/>
    <w:multiLevelType w:val="hybridMultilevel"/>
    <w:tmpl w:val="6706CD6E"/>
    <w:lvl w:ilvl="0" w:tplc="1C090001">
      <w:start w:val="1"/>
      <w:numFmt w:val="bullet"/>
      <w:lvlText w:val=""/>
      <w:lvlJc w:val="left"/>
      <w:pPr>
        <w:ind w:left="990" w:hanging="360"/>
      </w:pPr>
      <w:rPr>
        <w:rFonts w:ascii="Symbol" w:hAnsi="Symbol" w:hint="default"/>
      </w:rPr>
    </w:lvl>
    <w:lvl w:ilvl="1" w:tplc="1C090003" w:tentative="1">
      <w:start w:val="1"/>
      <w:numFmt w:val="bullet"/>
      <w:lvlText w:val="o"/>
      <w:lvlJc w:val="left"/>
      <w:pPr>
        <w:ind w:left="1710" w:hanging="360"/>
      </w:pPr>
      <w:rPr>
        <w:rFonts w:ascii="Courier New" w:hAnsi="Courier New" w:cs="Courier New" w:hint="default"/>
      </w:rPr>
    </w:lvl>
    <w:lvl w:ilvl="2" w:tplc="1C090005" w:tentative="1">
      <w:start w:val="1"/>
      <w:numFmt w:val="bullet"/>
      <w:lvlText w:val=""/>
      <w:lvlJc w:val="left"/>
      <w:pPr>
        <w:ind w:left="2430" w:hanging="360"/>
      </w:pPr>
      <w:rPr>
        <w:rFonts w:ascii="Wingdings" w:hAnsi="Wingdings" w:hint="default"/>
      </w:rPr>
    </w:lvl>
    <w:lvl w:ilvl="3" w:tplc="1C090001" w:tentative="1">
      <w:start w:val="1"/>
      <w:numFmt w:val="bullet"/>
      <w:lvlText w:val=""/>
      <w:lvlJc w:val="left"/>
      <w:pPr>
        <w:ind w:left="3150" w:hanging="360"/>
      </w:pPr>
      <w:rPr>
        <w:rFonts w:ascii="Symbol" w:hAnsi="Symbol" w:hint="default"/>
      </w:rPr>
    </w:lvl>
    <w:lvl w:ilvl="4" w:tplc="1C090003" w:tentative="1">
      <w:start w:val="1"/>
      <w:numFmt w:val="bullet"/>
      <w:lvlText w:val="o"/>
      <w:lvlJc w:val="left"/>
      <w:pPr>
        <w:ind w:left="3870" w:hanging="360"/>
      </w:pPr>
      <w:rPr>
        <w:rFonts w:ascii="Courier New" w:hAnsi="Courier New" w:cs="Courier New" w:hint="default"/>
      </w:rPr>
    </w:lvl>
    <w:lvl w:ilvl="5" w:tplc="1C090005" w:tentative="1">
      <w:start w:val="1"/>
      <w:numFmt w:val="bullet"/>
      <w:lvlText w:val=""/>
      <w:lvlJc w:val="left"/>
      <w:pPr>
        <w:ind w:left="4590" w:hanging="360"/>
      </w:pPr>
      <w:rPr>
        <w:rFonts w:ascii="Wingdings" w:hAnsi="Wingdings" w:hint="default"/>
      </w:rPr>
    </w:lvl>
    <w:lvl w:ilvl="6" w:tplc="1C090001" w:tentative="1">
      <w:start w:val="1"/>
      <w:numFmt w:val="bullet"/>
      <w:lvlText w:val=""/>
      <w:lvlJc w:val="left"/>
      <w:pPr>
        <w:ind w:left="5310" w:hanging="360"/>
      </w:pPr>
      <w:rPr>
        <w:rFonts w:ascii="Symbol" w:hAnsi="Symbol" w:hint="default"/>
      </w:rPr>
    </w:lvl>
    <w:lvl w:ilvl="7" w:tplc="1C090003" w:tentative="1">
      <w:start w:val="1"/>
      <w:numFmt w:val="bullet"/>
      <w:lvlText w:val="o"/>
      <w:lvlJc w:val="left"/>
      <w:pPr>
        <w:ind w:left="6030" w:hanging="360"/>
      </w:pPr>
      <w:rPr>
        <w:rFonts w:ascii="Courier New" w:hAnsi="Courier New" w:cs="Courier New" w:hint="default"/>
      </w:rPr>
    </w:lvl>
    <w:lvl w:ilvl="8" w:tplc="1C090005" w:tentative="1">
      <w:start w:val="1"/>
      <w:numFmt w:val="bullet"/>
      <w:lvlText w:val=""/>
      <w:lvlJc w:val="left"/>
      <w:pPr>
        <w:ind w:left="675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ED"/>
    <w:rsid w:val="0005781F"/>
    <w:rsid w:val="00080D79"/>
    <w:rsid w:val="000A0AF9"/>
    <w:rsid w:val="000A1EDB"/>
    <w:rsid w:val="000B0B9F"/>
    <w:rsid w:val="000B24E7"/>
    <w:rsid w:val="00122F5C"/>
    <w:rsid w:val="0018367F"/>
    <w:rsid w:val="001B7F69"/>
    <w:rsid w:val="001D5E15"/>
    <w:rsid w:val="00244283"/>
    <w:rsid w:val="00286148"/>
    <w:rsid w:val="002E006F"/>
    <w:rsid w:val="002E10F7"/>
    <w:rsid w:val="002E17DE"/>
    <w:rsid w:val="00337AA0"/>
    <w:rsid w:val="003421CB"/>
    <w:rsid w:val="003479EB"/>
    <w:rsid w:val="003A29D6"/>
    <w:rsid w:val="003C055F"/>
    <w:rsid w:val="00424313"/>
    <w:rsid w:val="00425939"/>
    <w:rsid w:val="00494760"/>
    <w:rsid w:val="004C1F7E"/>
    <w:rsid w:val="004F0E43"/>
    <w:rsid w:val="005174A1"/>
    <w:rsid w:val="005467F3"/>
    <w:rsid w:val="005564DE"/>
    <w:rsid w:val="005620B0"/>
    <w:rsid w:val="00565EA8"/>
    <w:rsid w:val="005660BB"/>
    <w:rsid w:val="00592793"/>
    <w:rsid w:val="00596E6C"/>
    <w:rsid w:val="005C58C1"/>
    <w:rsid w:val="005D3BE5"/>
    <w:rsid w:val="005E60A2"/>
    <w:rsid w:val="005F39DD"/>
    <w:rsid w:val="00612631"/>
    <w:rsid w:val="0063479C"/>
    <w:rsid w:val="00641826"/>
    <w:rsid w:val="006524A6"/>
    <w:rsid w:val="00662E1B"/>
    <w:rsid w:val="006E3C27"/>
    <w:rsid w:val="006E52E0"/>
    <w:rsid w:val="00764C7E"/>
    <w:rsid w:val="00795B93"/>
    <w:rsid w:val="007C0DED"/>
    <w:rsid w:val="007D4AC4"/>
    <w:rsid w:val="007F520A"/>
    <w:rsid w:val="008136E5"/>
    <w:rsid w:val="00838F9A"/>
    <w:rsid w:val="008646FD"/>
    <w:rsid w:val="008C3778"/>
    <w:rsid w:val="008F51C0"/>
    <w:rsid w:val="0090015A"/>
    <w:rsid w:val="00955326"/>
    <w:rsid w:val="00980DA6"/>
    <w:rsid w:val="00A23AC0"/>
    <w:rsid w:val="00A3053B"/>
    <w:rsid w:val="00A31C3B"/>
    <w:rsid w:val="00A43959"/>
    <w:rsid w:val="00A61AD9"/>
    <w:rsid w:val="00A810CD"/>
    <w:rsid w:val="00AC3D2F"/>
    <w:rsid w:val="00AE2D27"/>
    <w:rsid w:val="00AE759C"/>
    <w:rsid w:val="00AF22BD"/>
    <w:rsid w:val="00B07ECF"/>
    <w:rsid w:val="00B2606F"/>
    <w:rsid w:val="00B2652B"/>
    <w:rsid w:val="00B37411"/>
    <w:rsid w:val="00B40541"/>
    <w:rsid w:val="00B430E6"/>
    <w:rsid w:val="00B4590A"/>
    <w:rsid w:val="00B505D6"/>
    <w:rsid w:val="00B80C82"/>
    <w:rsid w:val="00B90A3B"/>
    <w:rsid w:val="00B9180B"/>
    <w:rsid w:val="00B95707"/>
    <w:rsid w:val="00C03B47"/>
    <w:rsid w:val="00C172BA"/>
    <w:rsid w:val="00C43ADD"/>
    <w:rsid w:val="00C62F8C"/>
    <w:rsid w:val="00C85A5E"/>
    <w:rsid w:val="00C90128"/>
    <w:rsid w:val="00CB5B73"/>
    <w:rsid w:val="00CB67E3"/>
    <w:rsid w:val="00CC3F81"/>
    <w:rsid w:val="00CC72F1"/>
    <w:rsid w:val="00CD10B5"/>
    <w:rsid w:val="00D166A3"/>
    <w:rsid w:val="00D22255"/>
    <w:rsid w:val="00D2568A"/>
    <w:rsid w:val="00D424D2"/>
    <w:rsid w:val="00D565C1"/>
    <w:rsid w:val="00D75086"/>
    <w:rsid w:val="00D81D85"/>
    <w:rsid w:val="00D86EEC"/>
    <w:rsid w:val="00DA33FE"/>
    <w:rsid w:val="00DA5F91"/>
    <w:rsid w:val="00DC506E"/>
    <w:rsid w:val="00E01751"/>
    <w:rsid w:val="00E132A6"/>
    <w:rsid w:val="00E25964"/>
    <w:rsid w:val="00E323C0"/>
    <w:rsid w:val="00E3294F"/>
    <w:rsid w:val="00E629E7"/>
    <w:rsid w:val="00E961AD"/>
    <w:rsid w:val="00EB2AF7"/>
    <w:rsid w:val="00ED3B72"/>
    <w:rsid w:val="00EF6D3C"/>
    <w:rsid w:val="00EF76B2"/>
    <w:rsid w:val="00F00159"/>
    <w:rsid w:val="00F04C9F"/>
    <w:rsid w:val="00F24D48"/>
    <w:rsid w:val="00F333E3"/>
    <w:rsid w:val="00F37773"/>
    <w:rsid w:val="00F41B9F"/>
    <w:rsid w:val="00F453C2"/>
    <w:rsid w:val="00F71D6C"/>
    <w:rsid w:val="00FA5F19"/>
    <w:rsid w:val="00FB695B"/>
    <w:rsid w:val="00FC0F1D"/>
    <w:rsid w:val="00FC3C02"/>
    <w:rsid w:val="00FC64E1"/>
    <w:rsid w:val="00FF38ED"/>
    <w:rsid w:val="00FF4F5D"/>
    <w:rsid w:val="01008A5B"/>
    <w:rsid w:val="010EC375"/>
    <w:rsid w:val="012202EA"/>
    <w:rsid w:val="012840B4"/>
    <w:rsid w:val="018A7450"/>
    <w:rsid w:val="01B6D9C6"/>
    <w:rsid w:val="0200DD49"/>
    <w:rsid w:val="022C4075"/>
    <w:rsid w:val="02863821"/>
    <w:rsid w:val="02C2AB0D"/>
    <w:rsid w:val="02C41115"/>
    <w:rsid w:val="039358CC"/>
    <w:rsid w:val="03DC295A"/>
    <w:rsid w:val="043AF21A"/>
    <w:rsid w:val="044312ED"/>
    <w:rsid w:val="0526CFA1"/>
    <w:rsid w:val="0569876F"/>
    <w:rsid w:val="05EAFC83"/>
    <w:rsid w:val="05F9807B"/>
    <w:rsid w:val="05FBB1D7"/>
    <w:rsid w:val="061D6710"/>
    <w:rsid w:val="06920B16"/>
    <w:rsid w:val="06AF98DA"/>
    <w:rsid w:val="075E018B"/>
    <w:rsid w:val="087008A3"/>
    <w:rsid w:val="0A1F2806"/>
    <w:rsid w:val="0A4AF629"/>
    <w:rsid w:val="0A8B1580"/>
    <w:rsid w:val="0B179F99"/>
    <w:rsid w:val="0BB9734C"/>
    <w:rsid w:val="0BD34820"/>
    <w:rsid w:val="0C52BEFC"/>
    <w:rsid w:val="0DC53150"/>
    <w:rsid w:val="0DD06E1E"/>
    <w:rsid w:val="0DD06ED2"/>
    <w:rsid w:val="0E06C3BC"/>
    <w:rsid w:val="0E429614"/>
    <w:rsid w:val="0E4A3A78"/>
    <w:rsid w:val="0E519BD6"/>
    <w:rsid w:val="0E556280"/>
    <w:rsid w:val="0F081362"/>
    <w:rsid w:val="0F372E97"/>
    <w:rsid w:val="0F6610BE"/>
    <w:rsid w:val="0FF02EC0"/>
    <w:rsid w:val="0FF780BA"/>
    <w:rsid w:val="0FFBCC1C"/>
    <w:rsid w:val="102098DB"/>
    <w:rsid w:val="10F99859"/>
    <w:rsid w:val="11080F94"/>
    <w:rsid w:val="11576444"/>
    <w:rsid w:val="1289B977"/>
    <w:rsid w:val="12ACDE6C"/>
    <w:rsid w:val="12ADB657"/>
    <w:rsid w:val="12DA34DF"/>
    <w:rsid w:val="12E5F8C9"/>
    <w:rsid w:val="12F6444C"/>
    <w:rsid w:val="1308C12D"/>
    <w:rsid w:val="134409B6"/>
    <w:rsid w:val="13B33C05"/>
    <w:rsid w:val="144019D2"/>
    <w:rsid w:val="14BCA962"/>
    <w:rsid w:val="14CBB8CA"/>
    <w:rsid w:val="1580AD6C"/>
    <w:rsid w:val="1597B27A"/>
    <w:rsid w:val="15D9E4FC"/>
    <w:rsid w:val="1667892B"/>
    <w:rsid w:val="16A841C4"/>
    <w:rsid w:val="16AB540E"/>
    <w:rsid w:val="16B29352"/>
    <w:rsid w:val="1752C6CC"/>
    <w:rsid w:val="188EC816"/>
    <w:rsid w:val="18901A99"/>
    <w:rsid w:val="189054D6"/>
    <w:rsid w:val="18F05DE9"/>
    <w:rsid w:val="19138AF5"/>
    <w:rsid w:val="1982621E"/>
    <w:rsid w:val="1A5D3244"/>
    <w:rsid w:val="1AD68793"/>
    <w:rsid w:val="1BBA1A9C"/>
    <w:rsid w:val="1C1116AB"/>
    <w:rsid w:val="1C557B01"/>
    <w:rsid w:val="1D1A0D6E"/>
    <w:rsid w:val="1D551CDA"/>
    <w:rsid w:val="1D55EAFD"/>
    <w:rsid w:val="1D68BE27"/>
    <w:rsid w:val="1E34E649"/>
    <w:rsid w:val="1E81E91D"/>
    <w:rsid w:val="1E899D59"/>
    <w:rsid w:val="1ED912D2"/>
    <w:rsid w:val="1EE72ACA"/>
    <w:rsid w:val="1EEA6176"/>
    <w:rsid w:val="1F6B7143"/>
    <w:rsid w:val="1FAE3190"/>
    <w:rsid w:val="1FC5FC6B"/>
    <w:rsid w:val="2099D9FB"/>
    <w:rsid w:val="21B4863D"/>
    <w:rsid w:val="21DE6BCA"/>
    <w:rsid w:val="22348437"/>
    <w:rsid w:val="236F3B5A"/>
    <w:rsid w:val="2485734D"/>
    <w:rsid w:val="24A63E21"/>
    <w:rsid w:val="24EC26FF"/>
    <w:rsid w:val="251042AB"/>
    <w:rsid w:val="2566C3A0"/>
    <w:rsid w:val="256EB126"/>
    <w:rsid w:val="25A971C5"/>
    <w:rsid w:val="2620A9AE"/>
    <w:rsid w:val="27091B7F"/>
    <w:rsid w:val="27814AD6"/>
    <w:rsid w:val="279CD25E"/>
    <w:rsid w:val="27DA55AE"/>
    <w:rsid w:val="2823C7C1"/>
    <w:rsid w:val="2858FFB0"/>
    <w:rsid w:val="28680F78"/>
    <w:rsid w:val="2874E4B3"/>
    <w:rsid w:val="288BC383"/>
    <w:rsid w:val="289E6462"/>
    <w:rsid w:val="28A651E8"/>
    <w:rsid w:val="290496F1"/>
    <w:rsid w:val="297B6990"/>
    <w:rsid w:val="29BF19B9"/>
    <w:rsid w:val="29BF9822"/>
    <w:rsid w:val="2A87CAD1"/>
    <w:rsid w:val="2B317289"/>
    <w:rsid w:val="2B9FB03A"/>
    <w:rsid w:val="2BCD9084"/>
    <w:rsid w:val="2BDDF2AA"/>
    <w:rsid w:val="2C0E7988"/>
    <w:rsid w:val="2C10DB5D"/>
    <w:rsid w:val="2C402646"/>
    <w:rsid w:val="2C409F40"/>
    <w:rsid w:val="2C44E10B"/>
    <w:rsid w:val="2CD242FE"/>
    <w:rsid w:val="2CDCAB0F"/>
    <w:rsid w:val="2D650A08"/>
    <w:rsid w:val="2D652089"/>
    <w:rsid w:val="2DDBF6A7"/>
    <w:rsid w:val="2EDC492A"/>
    <w:rsid w:val="2F025400"/>
    <w:rsid w:val="2FCECEE6"/>
    <w:rsid w:val="2FE279BE"/>
    <w:rsid w:val="30287F8E"/>
    <w:rsid w:val="302C7CC1"/>
    <w:rsid w:val="3035F76E"/>
    <w:rsid w:val="30C69753"/>
    <w:rsid w:val="3108F5D3"/>
    <w:rsid w:val="31A3D588"/>
    <w:rsid w:val="31AC623E"/>
    <w:rsid w:val="31C80766"/>
    <w:rsid w:val="321C3B0F"/>
    <w:rsid w:val="32305317"/>
    <w:rsid w:val="3303EF10"/>
    <w:rsid w:val="331A1A80"/>
    <w:rsid w:val="331E7B36"/>
    <w:rsid w:val="3348329F"/>
    <w:rsid w:val="34E40300"/>
    <w:rsid w:val="356665A6"/>
    <w:rsid w:val="35CDE02F"/>
    <w:rsid w:val="3635654A"/>
    <w:rsid w:val="3663DEE0"/>
    <w:rsid w:val="36C3619A"/>
    <w:rsid w:val="371F3F49"/>
    <w:rsid w:val="37AA2F7B"/>
    <w:rsid w:val="37DA8B5F"/>
    <w:rsid w:val="38347902"/>
    <w:rsid w:val="383F7F95"/>
    <w:rsid w:val="38A1E74D"/>
    <w:rsid w:val="38BC75B2"/>
    <w:rsid w:val="391B89C0"/>
    <w:rsid w:val="39973700"/>
    <w:rsid w:val="39B50BAB"/>
    <w:rsid w:val="39E64C60"/>
    <w:rsid w:val="39F56E89"/>
    <w:rsid w:val="3A63F2C0"/>
    <w:rsid w:val="3AA39D94"/>
    <w:rsid w:val="3AAA6E7D"/>
    <w:rsid w:val="3ACA5700"/>
    <w:rsid w:val="3B000AE6"/>
    <w:rsid w:val="3B4B284D"/>
    <w:rsid w:val="3B720215"/>
    <w:rsid w:val="3B7D22F3"/>
    <w:rsid w:val="3BF3DD9D"/>
    <w:rsid w:val="3C3BFF47"/>
    <w:rsid w:val="3C4C26E3"/>
    <w:rsid w:val="3CD32064"/>
    <w:rsid w:val="3CF1D76C"/>
    <w:rsid w:val="3D9B9382"/>
    <w:rsid w:val="3DC3B0D5"/>
    <w:rsid w:val="3DDC29BB"/>
    <w:rsid w:val="3EB873F6"/>
    <w:rsid w:val="3F1128D1"/>
    <w:rsid w:val="3F4D3A45"/>
    <w:rsid w:val="3F83C7A5"/>
    <w:rsid w:val="3FA03400"/>
    <w:rsid w:val="3FB3774E"/>
    <w:rsid w:val="3FC148BA"/>
    <w:rsid w:val="3FC5C796"/>
    <w:rsid w:val="3FE10A15"/>
    <w:rsid w:val="3FEBC367"/>
    <w:rsid w:val="40E9BA70"/>
    <w:rsid w:val="414ADF6C"/>
    <w:rsid w:val="4157C54D"/>
    <w:rsid w:val="42227E26"/>
    <w:rsid w:val="4234EF99"/>
    <w:rsid w:val="43163FEC"/>
    <w:rsid w:val="4329398B"/>
    <w:rsid w:val="449BE9FB"/>
    <w:rsid w:val="44C509EC"/>
    <w:rsid w:val="452F34B8"/>
    <w:rsid w:val="468826BC"/>
    <w:rsid w:val="46A7BC55"/>
    <w:rsid w:val="4714EDD4"/>
    <w:rsid w:val="47BDBD24"/>
    <w:rsid w:val="47F2F467"/>
    <w:rsid w:val="481977EF"/>
    <w:rsid w:val="482CAFC0"/>
    <w:rsid w:val="4854284D"/>
    <w:rsid w:val="48A0EAB1"/>
    <w:rsid w:val="48C10A65"/>
    <w:rsid w:val="48C23B8D"/>
    <w:rsid w:val="48D44176"/>
    <w:rsid w:val="49046DAA"/>
    <w:rsid w:val="494A9768"/>
    <w:rsid w:val="49987B0F"/>
    <w:rsid w:val="499AC25D"/>
    <w:rsid w:val="49CEC98A"/>
    <w:rsid w:val="49FED8A2"/>
    <w:rsid w:val="4A0F67AE"/>
    <w:rsid w:val="4A49258F"/>
    <w:rsid w:val="4A5C744C"/>
    <w:rsid w:val="4B344B70"/>
    <w:rsid w:val="4B8A7713"/>
    <w:rsid w:val="4B97A29D"/>
    <w:rsid w:val="4C00CD05"/>
    <w:rsid w:val="4C84FF27"/>
    <w:rsid w:val="4C856B0E"/>
    <w:rsid w:val="4C8DA5C5"/>
    <w:rsid w:val="4DE33A82"/>
    <w:rsid w:val="4DFEA4DD"/>
    <w:rsid w:val="4E677CD8"/>
    <w:rsid w:val="4E9C65EB"/>
    <w:rsid w:val="4FA052B2"/>
    <w:rsid w:val="4FA48796"/>
    <w:rsid w:val="501C7596"/>
    <w:rsid w:val="50E72CFF"/>
    <w:rsid w:val="510ED281"/>
    <w:rsid w:val="51464C44"/>
    <w:rsid w:val="5214DB8B"/>
    <w:rsid w:val="524CC6B2"/>
    <w:rsid w:val="52583785"/>
    <w:rsid w:val="52A5455A"/>
    <w:rsid w:val="52F5E612"/>
    <w:rsid w:val="54B48DFC"/>
    <w:rsid w:val="54D41074"/>
    <w:rsid w:val="54EC3037"/>
    <w:rsid w:val="54FE6EB9"/>
    <w:rsid w:val="5502FC4F"/>
    <w:rsid w:val="5533AEB8"/>
    <w:rsid w:val="55A96C05"/>
    <w:rsid w:val="55EE3E28"/>
    <w:rsid w:val="56412D13"/>
    <w:rsid w:val="564E6EEF"/>
    <w:rsid w:val="565A1AF2"/>
    <w:rsid w:val="566C81B6"/>
    <w:rsid w:val="567382BB"/>
    <w:rsid w:val="568E4145"/>
    <w:rsid w:val="5745ADD5"/>
    <w:rsid w:val="575688FC"/>
    <w:rsid w:val="580AA7D8"/>
    <w:rsid w:val="5873308E"/>
    <w:rsid w:val="58BA65B9"/>
    <w:rsid w:val="58BCE871"/>
    <w:rsid w:val="597A2BAB"/>
    <w:rsid w:val="597E432E"/>
    <w:rsid w:val="59D46B2B"/>
    <w:rsid w:val="59EDAA58"/>
    <w:rsid w:val="59FE3102"/>
    <w:rsid w:val="5A042550"/>
    <w:rsid w:val="5A08C0FA"/>
    <w:rsid w:val="5A3CFDE6"/>
    <w:rsid w:val="5AEC694D"/>
    <w:rsid w:val="5B2DCB81"/>
    <w:rsid w:val="5B4BAC3F"/>
    <w:rsid w:val="5B4C875E"/>
    <w:rsid w:val="5B763A95"/>
    <w:rsid w:val="5BAD984D"/>
    <w:rsid w:val="5C5B6617"/>
    <w:rsid w:val="5D528AA4"/>
    <w:rsid w:val="5DFDE495"/>
    <w:rsid w:val="5EDCB4B0"/>
    <w:rsid w:val="5EEC7C89"/>
    <w:rsid w:val="5F7A73F2"/>
    <w:rsid w:val="5F8F0A73"/>
    <w:rsid w:val="5FD40C51"/>
    <w:rsid w:val="5FD734BA"/>
    <w:rsid w:val="5FEFF154"/>
    <w:rsid w:val="60013CA4"/>
    <w:rsid w:val="6051CBCB"/>
    <w:rsid w:val="6086960F"/>
    <w:rsid w:val="60BD5965"/>
    <w:rsid w:val="61094C5E"/>
    <w:rsid w:val="616A2462"/>
    <w:rsid w:val="61BBC8E2"/>
    <w:rsid w:val="61D63014"/>
    <w:rsid w:val="62629AAD"/>
    <w:rsid w:val="6276C3B9"/>
    <w:rsid w:val="62C45066"/>
    <w:rsid w:val="63B03CD8"/>
    <w:rsid w:val="63C3C0DC"/>
    <w:rsid w:val="63EF4448"/>
    <w:rsid w:val="6414C308"/>
    <w:rsid w:val="64F369A4"/>
    <w:rsid w:val="6568B719"/>
    <w:rsid w:val="6640C57C"/>
    <w:rsid w:val="6690A00D"/>
    <w:rsid w:val="6767BC77"/>
    <w:rsid w:val="676C5D7A"/>
    <w:rsid w:val="67964334"/>
    <w:rsid w:val="67A78962"/>
    <w:rsid w:val="67D293A2"/>
    <w:rsid w:val="67EE977A"/>
    <w:rsid w:val="6887118E"/>
    <w:rsid w:val="68A73CED"/>
    <w:rsid w:val="69082DDB"/>
    <w:rsid w:val="690F76CF"/>
    <w:rsid w:val="691FAE64"/>
    <w:rsid w:val="696F6F79"/>
    <w:rsid w:val="69C9C76B"/>
    <w:rsid w:val="69E8F8EB"/>
    <w:rsid w:val="6A28259D"/>
    <w:rsid w:val="6BA8B4DE"/>
    <w:rsid w:val="6BE26F25"/>
    <w:rsid w:val="6C34BE03"/>
    <w:rsid w:val="6C3FCE9D"/>
    <w:rsid w:val="6C99C01A"/>
    <w:rsid w:val="6CD002AD"/>
    <w:rsid w:val="6CEC2175"/>
    <w:rsid w:val="6CF009BD"/>
    <w:rsid w:val="6D328C8E"/>
    <w:rsid w:val="6DBB0A5C"/>
    <w:rsid w:val="6DC2A976"/>
    <w:rsid w:val="6E86851B"/>
    <w:rsid w:val="6E9A4BEA"/>
    <w:rsid w:val="6EEB7175"/>
    <w:rsid w:val="6FBA3B3F"/>
    <w:rsid w:val="704F8F4F"/>
    <w:rsid w:val="70835E90"/>
    <w:rsid w:val="70867747"/>
    <w:rsid w:val="7110B6E1"/>
    <w:rsid w:val="711243A1"/>
    <w:rsid w:val="715CDC64"/>
    <w:rsid w:val="721F2EF1"/>
    <w:rsid w:val="73A30864"/>
    <w:rsid w:val="743884DD"/>
    <w:rsid w:val="746C9E51"/>
    <w:rsid w:val="74DA4A7B"/>
    <w:rsid w:val="74EB3638"/>
    <w:rsid w:val="74ED7BF1"/>
    <w:rsid w:val="751075FE"/>
    <w:rsid w:val="754E13B9"/>
    <w:rsid w:val="75CAC983"/>
    <w:rsid w:val="75F48F50"/>
    <w:rsid w:val="76EF720F"/>
    <w:rsid w:val="77BF5BD4"/>
    <w:rsid w:val="784E40E5"/>
    <w:rsid w:val="78676D1C"/>
    <w:rsid w:val="78AAC4ED"/>
    <w:rsid w:val="78DCB85B"/>
    <w:rsid w:val="7917E7E1"/>
    <w:rsid w:val="791D2ECE"/>
    <w:rsid w:val="7936572B"/>
    <w:rsid w:val="7970D85F"/>
    <w:rsid w:val="797C4A39"/>
    <w:rsid w:val="79988AC7"/>
    <w:rsid w:val="79A4F017"/>
    <w:rsid w:val="79C29A91"/>
    <w:rsid w:val="7A388282"/>
    <w:rsid w:val="7A817CD8"/>
    <w:rsid w:val="7AB1F32E"/>
    <w:rsid w:val="7ABD6E89"/>
    <w:rsid w:val="7B0E9255"/>
    <w:rsid w:val="7B345B28"/>
    <w:rsid w:val="7B866552"/>
    <w:rsid w:val="7BC71DE0"/>
    <w:rsid w:val="7C705DCD"/>
    <w:rsid w:val="7CA6349C"/>
    <w:rsid w:val="7D97CE9B"/>
    <w:rsid w:val="7DAB71EA"/>
    <w:rsid w:val="7DD45BB5"/>
    <w:rsid w:val="7E8AD1DD"/>
    <w:rsid w:val="7ED09651"/>
    <w:rsid w:val="7F115B51"/>
    <w:rsid w:val="7FC62F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16432"/>
  <w15:docId w15:val="{0BD092E2-0679-409C-9BDA-47E99D36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86"/>
  </w:style>
  <w:style w:type="paragraph" w:styleId="Heading2">
    <w:name w:val="heading 2"/>
    <w:basedOn w:val="Normal"/>
    <w:next w:val="Normal"/>
    <w:link w:val="Heading2Char"/>
    <w:uiPriority w:val="9"/>
    <w:unhideWhenUsed/>
    <w:qFormat/>
    <w:rsid w:val="00F71D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421CB"/>
    <w:pPr>
      <w:keepNext/>
      <w:keepLines/>
      <w:spacing w:before="300" w:after="100" w:line="259" w:lineRule="auto"/>
      <w:jc w:val="both"/>
      <w:outlineLvl w:val="2"/>
    </w:pPr>
    <w:rPr>
      <w:rFonts w:ascii="Source Sans Pro" w:eastAsiaTheme="majorEastAsia" w:hAnsi="Source Sans Pro" w:cstheme="majorBidi"/>
      <w:b/>
      <w:color w:val="243F60" w:themeColor="accent1" w:themeShade="7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text"/>
    <w:basedOn w:val="Normal"/>
    <w:link w:val="ListParagraphChar"/>
    <w:uiPriority w:val="2"/>
    <w:qFormat/>
    <w:rsid w:val="00FF38ED"/>
    <w:pPr>
      <w:ind w:left="720"/>
      <w:contextualSpacing/>
    </w:pPr>
  </w:style>
  <w:style w:type="table" w:styleId="TableGrid">
    <w:name w:val="Table Grid"/>
    <w:basedOn w:val="TableNormal"/>
    <w:uiPriority w:val="39"/>
    <w:rsid w:val="004F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3BE5"/>
    <w:rPr>
      <w:sz w:val="16"/>
      <w:szCs w:val="16"/>
    </w:rPr>
  </w:style>
  <w:style w:type="paragraph" w:styleId="CommentText">
    <w:name w:val="annotation text"/>
    <w:basedOn w:val="Normal"/>
    <w:link w:val="CommentTextChar"/>
    <w:uiPriority w:val="99"/>
    <w:semiHidden/>
    <w:unhideWhenUsed/>
    <w:rsid w:val="005D3BE5"/>
    <w:pPr>
      <w:spacing w:line="240" w:lineRule="auto"/>
    </w:pPr>
    <w:rPr>
      <w:sz w:val="20"/>
      <w:szCs w:val="20"/>
    </w:rPr>
  </w:style>
  <w:style w:type="character" w:customStyle="1" w:styleId="CommentTextChar">
    <w:name w:val="Comment Text Char"/>
    <w:basedOn w:val="DefaultParagraphFont"/>
    <w:link w:val="CommentText"/>
    <w:uiPriority w:val="99"/>
    <w:semiHidden/>
    <w:rsid w:val="005D3BE5"/>
    <w:rPr>
      <w:sz w:val="20"/>
      <w:szCs w:val="20"/>
    </w:rPr>
  </w:style>
  <w:style w:type="paragraph" w:styleId="CommentSubject">
    <w:name w:val="annotation subject"/>
    <w:basedOn w:val="CommentText"/>
    <w:next w:val="CommentText"/>
    <w:link w:val="CommentSubjectChar"/>
    <w:uiPriority w:val="99"/>
    <w:semiHidden/>
    <w:unhideWhenUsed/>
    <w:rsid w:val="005D3BE5"/>
    <w:rPr>
      <w:b/>
      <w:bCs/>
    </w:rPr>
  </w:style>
  <w:style w:type="character" w:customStyle="1" w:styleId="CommentSubjectChar">
    <w:name w:val="Comment Subject Char"/>
    <w:basedOn w:val="CommentTextChar"/>
    <w:link w:val="CommentSubject"/>
    <w:uiPriority w:val="99"/>
    <w:semiHidden/>
    <w:rsid w:val="005D3BE5"/>
    <w:rPr>
      <w:b/>
      <w:bCs/>
      <w:sz w:val="20"/>
      <w:szCs w:val="20"/>
    </w:rPr>
  </w:style>
  <w:style w:type="paragraph" w:styleId="BalloonText">
    <w:name w:val="Balloon Text"/>
    <w:basedOn w:val="Normal"/>
    <w:link w:val="BalloonTextChar"/>
    <w:uiPriority w:val="99"/>
    <w:semiHidden/>
    <w:unhideWhenUsed/>
    <w:rsid w:val="005D3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E5"/>
    <w:rPr>
      <w:rFonts w:ascii="Tahoma" w:hAnsi="Tahoma" w:cs="Tahoma"/>
      <w:sz w:val="16"/>
      <w:szCs w:val="16"/>
    </w:rPr>
  </w:style>
  <w:style w:type="paragraph" w:styleId="Header">
    <w:name w:val="header"/>
    <w:basedOn w:val="Normal"/>
    <w:link w:val="HeaderChar"/>
    <w:uiPriority w:val="99"/>
    <w:unhideWhenUsed/>
    <w:rsid w:val="00662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E1B"/>
  </w:style>
  <w:style w:type="paragraph" w:styleId="Footer">
    <w:name w:val="footer"/>
    <w:basedOn w:val="Normal"/>
    <w:link w:val="FooterChar"/>
    <w:uiPriority w:val="99"/>
    <w:unhideWhenUsed/>
    <w:rsid w:val="00662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E1B"/>
  </w:style>
  <w:style w:type="character" w:customStyle="1" w:styleId="Heading3Char">
    <w:name w:val="Heading 3 Char"/>
    <w:basedOn w:val="DefaultParagraphFont"/>
    <w:link w:val="Heading3"/>
    <w:uiPriority w:val="9"/>
    <w:rsid w:val="003421CB"/>
    <w:rPr>
      <w:rFonts w:ascii="Source Sans Pro" w:eastAsiaTheme="majorEastAsia" w:hAnsi="Source Sans Pro" w:cstheme="majorBidi"/>
      <w:b/>
      <w:color w:val="243F60" w:themeColor="accent1" w:themeShade="7F"/>
      <w:sz w:val="26"/>
      <w:szCs w:val="24"/>
    </w:rPr>
  </w:style>
  <w:style w:type="character" w:styleId="Hyperlink">
    <w:name w:val="Hyperlink"/>
    <w:basedOn w:val="DefaultParagraphFont"/>
    <w:uiPriority w:val="99"/>
    <w:unhideWhenUsed/>
    <w:rsid w:val="006E52E0"/>
    <w:rPr>
      <w:color w:val="0000FF" w:themeColor="hyperlink"/>
      <w:u w:val="single"/>
    </w:rPr>
  </w:style>
  <w:style w:type="character" w:customStyle="1" w:styleId="UnresolvedMention">
    <w:name w:val="Unresolved Mention"/>
    <w:basedOn w:val="DefaultParagraphFont"/>
    <w:uiPriority w:val="99"/>
    <w:semiHidden/>
    <w:unhideWhenUsed/>
    <w:rsid w:val="006E52E0"/>
    <w:rPr>
      <w:color w:val="605E5C"/>
      <w:shd w:val="clear" w:color="auto" w:fill="E1DFDD"/>
    </w:rPr>
  </w:style>
  <w:style w:type="character" w:customStyle="1" w:styleId="Heading2Char">
    <w:name w:val="Heading 2 Char"/>
    <w:basedOn w:val="DefaultParagraphFont"/>
    <w:link w:val="Heading2"/>
    <w:uiPriority w:val="9"/>
    <w:rsid w:val="00F71D6C"/>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Table text Char"/>
    <w:basedOn w:val="DefaultParagraphFont"/>
    <w:link w:val="ListParagraph"/>
    <w:uiPriority w:val="2"/>
    <w:locked/>
    <w:rsid w:val="0098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epistemonikos.org/en/documents/8f93a60135510c29a8bce7b9caa0d9375388431c" TargetMode="External"/><Relationship Id="rId26" Type="http://schemas.openxmlformats.org/officeDocument/2006/relationships/hyperlink" Target="https://www.cochranelibrary.com/cdsr/doi/10.1002/14651858.CD008738.pub2/full?highlightAbstract=antibiotic%7Cburn%7Cinfection%7Cpreventing%7Cfor%7Cantibiot%7Cwinded%7Cprophylaxis%7Cprophylaxi%7Cprevent%7Cwound%7Cfour%7Cwind%7Cinfect" TargetMode="External"/><Relationship Id="rId3" Type="http://schemas.openxmlformats.org/officeDocument/2006/relationships/customXml" Target="../customXml/item3.xml"/><Relationship Id="rId21" Type="http://schemas.openxmlformats.org/officeDocument/2006/relationships/hyperlink" Target="https://www.cochranelibrary.com/cdsr/doi/10.1002/14651858.CD008738.pub2/full?highlightAbstract=antibiotic%7Cburn%7Cinfection%7Cpreventing%7Cfor%7Cantibiot%7Cwinded%7Cprophylaxis%7Cprophylaxi%7Cprevent%7Cwound%7Cfour%7Cwind%7Cinfect"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epistemonikos.org/en/documents/428fafbe5f9ac490f608c8dcfdeac0624523a06c" TargetMode="External"/><Relationship Id="rId25" Type="http://schemas.openxmlformats.org/officeDocument/2006/relationships/hyperlink" Target="https://www.cochranelibrary.com/cdsr/doi/10.1002/14651858.CD002106.pub4/full?highlightAbstract=superficial%7Cdress%7Cdressings%7Cburn%7Cthickness%7Csuperfici%7Cfour%7Cfor%7Cpartial%7Cthick%7Cburn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pistemonikos.org/" TargetMode="External"/><Relationship Id="rId20" Type="http://schemas.openxmlformats.org/officeDocument/2006/relationships/hyperlink" Target="https://www.cochranelibrary.com/cdsr/doi/10.1002/14651858.CD012826.pub2/full?highlightAbstract=povione%7Cburn%7Cdress%7Cpovion%7Cnano%7Cmupirocin%7Ccrystalline%7Calternifolia%7Ccrystallin%7Csulfadiazine%7Cmelaleuca%7Cdressings%7Csulfadiazin%7Cdressing%7Ciodin%7Calternifoli%7Ciodine%7Csilver%7Cmelaleuc%7Cburns" TargetMode="External"/><Relationship Id="rId29" Type="http://schemas.openxmlformats.org/officeDocument/2006/relationships/hyperlink" Target="https://www.epistemonikos.org/en/documents/62bf0fa634771064fd1e91c0667b9150056f0db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cochranelibrary.com/cdsr/doi/10.1002/14651858.CD011821.pub2/full?highlightAbstract=burn%7Cfour%7Cantisept%7Cfor%7Cantiseptics%7Cburn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cochranelibrary.com/cdsr/doi/10.1002/14651858.CD011821.pub2/full?highlightAbstract=burn%7Cfour%7Cantisept%7Cfor%7Cantiseptics%7Cburns" TargetMode="External"/><Relationship Id="rId28" Type="http://schemas.openxmlformats.org/officeDocument/2006/relationships/hyperlink" Target="https://www.epistemonikos.org/en/documents/8e35177be907fb5c5de29e2f0af6d76bd26a6ee2" TargetMode="External"/><Relationship Id="rId10" Type="http://schemas.openxmlformats.org/officeDocument/2006/relationships/header" Target="header1.xml"/><Relationship Id="rId19" Type="http://schemas.openxmlformats.org/officeDocument/2006/relationships/hyperlink" Target="https://www.epistemonikos.org/en/documents/4a40503fa1f9c34741d158c1243bcee667b9af40" TargetMode="External"/><Relationship Id="rId31" Type="http://schemas.openxmlformats.org/officeDocument/2006/relationships/hyperlink" Target="https://www.cochranelibrary.com/cdsr/doi/10.1002/14651858.CD008058.pub3/full?highlightAbstract=burn%7Cdressings%7Cdress%7Cfour%7Cfor%7Cburns%7Cfaci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epistemonikos.org/en/documents/8e35177be907fb5c5de29e2f0af6d76bd26a6ee2" TargetMode="External"/><Relationship Id="rId27" Type="http://schemas.openxmlformats.org/officeDocument/2006/relationships/hyperlink" Target="https://www.epistemonikos.org/en/documents/670cbe3810cea0828239b90967fcf75dd31a19c2" TargetMode="External"/><Relationship Id="rId30" Type="http://schemas.openxmlformats.org/officeDocument/2006/relationships/hyperlink" Target="https://www.cochranelibrary.com/cdsr/doi/10.1002/14651858.CD011821.pub2/full?highlightAbstract=burn%7Cfour%7Cantisept%7Cfor%7Cantiseptics%7Cbu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C5F82B197A44DB84E92221AA842A7" ma:contentTypeVersion="4" ma:contentTypeDescription="Create a new document." ma:contentTypeScope="" ma:versionID="9f0b9c81c2f9b321e3551ed2a2c118e2">
  <xsd:schema xmlns:xsd="http://www.w3.org/2001/XMLSchema" xmlns:xs="http://www.w3.org/2001/XMLSchema" xmlns:p="http://schemas.microsoft.com/office/2006/metadata/properties" xmlns:ns2="121e5681-6b5c-4023-ba7d-da3ad6b8c50f" targetNamespace="http://schemas.microsoft.com/office/2006/metadata/properties" ma:root="true" ma:fieldsID="489f98e75b35c2e575d178c1571c5c3a" ns2:_="">
    <xsd:import namespace="121e5681-6b5c-4023-ba7d-da3ad6b8c5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e5681-6b5c-4023-ba7d-da3ad6b8c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746DC-9795-42AE-8043-C11CFF949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e5681-6b5c-4023-ba7d-da3ad6b8c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453BF-882E-4EF7-9672-96190551E4C5}">
  <ds:schemaRefs>
    <ds:schemaRef ds:uri="http://schemas.microsoft.com/sharepoint/v3/contenttype/forms"/>
  </ds:schemaRefs>
</ds:datastoreItem>
</file>

<file path=customXml/itemProps3.xml><?xml version="1.0" encoding="utf-8"?>
<ds:datastoreItem xmlns:ds="http://schemas.openxmlformats.org/officeDocument/2006/customXml" ds:itemID="{C763EBE2-D3C5-41E8-99D3-93A212794C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ndoh</dc:creator>
  <cp:lastModifiedBy>Trudy TD. Leong</cp:lastModifiedBy>
  <cp:revision>3</cp:revision>
  <cp:lastPrinted>2016-05-10T10:42:00Z</cp:lastPrinted>
  <dcterms:created xsi:type="dcterms:W3CDTF">2022-06-26T10:42:00Z</dcterms:created>
  <dcterms:modified xsi:type="dcterms:W3CDTF">2022-06-26T10:43:00Z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0x010100568C5F82B197A44DB84E92221AA842A7</vt:lpwstr>
  </property>
</Properties>
</file>