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57776" w14:textId="5B18A604" w:rsidR="00133FED" w:rsidRDefault="00133FED" w:rsidP="009B4DF7">
      <w:pPr>
        <w:spacing w:after="0" w:line="240" w:lineRule="auto"/>
        <w:jc w:val="center"/>
        <w:rPr>
          <w:rFonts w:cstheme="minorHAnsi"/>
          <w:b/>
          <w:sz w:val="24"/>
          <w:szCs w:val="18"/>
          <w:lang w:val="en-GB"/>
        </w:rPr>
      </w:pPr>
      <w:r w:rsidRPr="00133FED">
        <w:rPr>
          <w:rFonts w:cstheme="minorHAnsi"/>
          <w:b/>
          <w:sz w:val="24"/>
          <w:szCs w:val="18"/>
          <w:lang w:val="en-GB"/>
        </w:rPr>
        <w:t xml:space="preserve">SOUTH AFRICAN </w:t>
      </w:r>
      <w:r w:rsidR="00737463">
        <w:rPr>
          <w:rFonts w:cstheme="minorHAnsi"/>
          <w:b/>
          <w:sz w:val="24"/>
          <w:szCs w:val="18"/>
          <w:lang w:val="en-GB"/>
        </w:rPr>
        <w:t>ADULT HOSPITAL LEVEL</w:t>
      </w:r>
      <w:r w:rsidRPr="00133FED">
        <w:rPr>
          <w:rFonts w:cstheme="minorHAnsi"/>
          <w:b/>
          <w:sz w:val="24"/>
          <w:szCs w:val="18"/>
          <w:lang w:val="en-GB"/>
        </w:rPr>
        <w:t xml:space="preserve"> ESSENTIAL MEDICINES LIST </w:t>
      </w:r>
    </w:p>
    <w:p w14:paraId="6F421E20" w14:textId="5BA5DD64" w:rsidR="00DE788E" w:rsidRDefault="00133FED" w:rsidP="00DE788E">
      <w:pPr>
        <w:spacing w:after="0" w:line="240" w:lineRule="auto"/>
        <w:jc w:val="center"/>
        <w:rPr>
          <w:rFonts w:cstheme="minorHAnsi"/>
          <w:b/>
          <w:sz w:val="24"/>
          <w:szCs w:val="18"/>
          <w:lang w:val="en-GB"/>
        </w:rPr>
      </w:pPr>
      <w:r>
        <w:rPr>
          <w:rFonts w:cstheme="minorHAnsi"/>
          <w:b/>
          <w:sz w:val="24"/>
          <w:szCs w:val="18"/>
          <w:lang w:val="en-GB"/>
        </w:rPr>
        <w:t xml:space="preserve">CHAPTER </w:t>
      </w:r>
      <w:r w:rsidR="00D47CDE">
        <w:rPr>
          <w:rFonts w:cstheme="minorHAnsi"/>
          <w:b/>
          <w:sz w:val="24"/>
          <w:szCs w:val="18"/>
          <w:lang w:val="en-GB"/>
        </w:rPr>
        <w:t>2</w:t>
      </w:r>
      <w:r w:rsidR="00737463">
        <w:rPr>
          <w:rFonts w:cstheme="minorHAnsi"/>
          <w:b/>
          <w:sz w:val="24"/>
          <w:szCs w:val="18"/>
          <w:lang w:val="en-GB"/>
        </w:rPr>
        <w:t>0</w:t>
      </w:r>
      <w:r>
        <w:rPr>
          <w:rFonts w:cstheme="minorHAnsi"/>
          <w:b/>
          <w:sz w:val="24"/>
          <w:szCs w:val="18"/>
          <w:lang w:val="en-GB"/>
        </w:rPr>
        <w:t>:</w:t>
      </w:r>
      <w:r w:rsidR="00875183">
        <w:rPr>
          <w:rFonts w:cstheme="minorHAnsi"/>
          <w:b/>
          <w:sz w:val="24"/>
          <w:szCs w:val="18"/>
          <w:lang w:val="en-GB"/>
        </w:rPr>
        <w:t xml:space="preserve"> </w:t>
      </w:r>
      <w:r w:rsidR="00D47CDE">
        <w:rPr>
          <w:rFonts w:cstheme="minorHAnsi"/>
          <w:b/>
          <w:sz w:val="24"/>
          <w:szCs w:val="18"/>
          <w:lang w:val="en-GB"/>
        </w:rPr>
        <w:t>EMERGENCIES AND INJUROES</w:t>
      </w:r>
      <w:r w:rsidR="00DE788E">
        <w:rPr>
          <w:rFonts w:cstheme="minorHAnsi"/>
          <w:b/>
          <w:sz w:val="24"/>
          <w:szCs w:val="18"/>
          <w:lang w:val="en-GB"/>
        </w:rPr>
        <w:t xml:space="preserve"> </w:t>
      </w:r>
    </w:p>
    <w:p w14:paraId="399079D7" w14:textId="76021F96" w:rsidR="009B4DF7" w:rsidRDefault="00AB17AC" w:rsidP="00C3215A">
      <w:pPr>
        <w:pBdr>
          <w:bottom w:val="single" w:sz="4" w:space="1" w:color="auto"/>
        </w:pBdr>
        <w:spacing w:after="0" w:line="240" w:lineRule="auto"/>
        <w:jc w:val="center"/>
        <w:rPr>
          <w:rFonts w:cstheme="minorHAnsi"/>
          <w:b/>
          <w:sz w:val="24"/>
          <w:szCs w:val="18"/>
          <w:lang w:val="en-GB"/>
        </w:rPr>
      </w:pPr>
      <w:r w:rsidRPr="00C3215A">
        <w:rPr>
          <w:rFonts w:cstheme="minorHAnsi"/>
          <w:b/>
          <w:sz w:val="24"/>
          <w:szCs w:val="18"/>
          <w:lang w:val="en-GB"/>
        </w:rPr>
        <w:t xml:space="preserve">NEMLC </w:t>
      </w:r>
      <w:r w:rsidR="00E162A1">
        <w:rPr>
          <w:rFonts w:cstheme="minorHAnsi"/>
          <w:b/>
          <w:sz w:val="24"/>
          <w:szCs w:val="18"/>
          <w:lang w:val="en-GB"/>
        </w:rPr>
        <w:t xml:space="preserve">RECOMMENDATIONS FROM THE </w:t>
      </w:r>
      <w:r w:rsidR="00C3215A" w:rsidRPr="00C3215A">
        <w:rPr>
          <w:rFonts w:cstheme="minorHAnsi"/>
          <w:b/>
          <w:sz w:val="24"/>
          <w:szCs w:val="18"/>
          <w:lang w:val="en-GB"/>
        </w:rPr>
        <w:t>MEETING</w:t>
      </w:r>
      <w:r w:rsidR="00E162A1">
        <w:rPr>
          <w:rFonts w:cstheme="minorHAnsi"/>
          <w:b/>
          <w:sz w:val="24"/>
          <w:szCs w:val="18"/>
          <w:lang w:val="en-GB"/>
        </w:rPr>
        <w:t xml:space="preserve"> OF </w:t>
      </w:r>
      <w:r w:rsidR="00737463">
        <w:rPr>
          <w:rFonts w:cstheme="minorHAnsi"/>
          <w:b/>
          <w:sz w:val="24"/>
          <w:szCs w:val="18"/>
          <w:lang w:val="en-GB"/>
        </w:rPr>
        <w:t>20 OCTOBER</w:t>
      </w:r>
      <w:r w:rsidR="00C3215A" w:rsidRPr="00C3215A">
        <w:rPr>
          <w:rFonts w:cstheme="minorHAnsi"/>
          <w:b/>
          <w:sz w:val="24"/>
          <w:szCs w:val="18"/>
          <w:lang w:val="en-GB"/>
        </w:rPr>
        <w:t xml:space="preserve"> 2022</w:t>
      </w:r>
    </w:p>
    <w:p w14:paraId="0F7A4B8E" w14:textId="77777777" w:rsidR="008A6F6A" w:rsidRPr="00D30030" w:rsidRDefault="008A6F6A" w:rsidP="008A6F6A">
      <w:pPr>
        <w:spacing w:after="0" w:line="240" w:lineRule="auto"/>
        <w:jc w:val="both"/>
        <w:rPr>
          <w:rFonts w:cstheme="minorHAnsi"/>
          <w:b/>
          <w:spacing w:val="-2"/>
          <w:lang w:eastAsia="ar-SA"/>
        </w:rPr>
      </w:pPr>
      <w:r w:rsidRPr="00D30030">
        <w:rPr>
          <w:rFonts w:cstheme="minorHAnsi"/>
          <w:b/>
          <w:spacing w:val="-2"/>
          <w:lang w:eastAsia="ar-SA"/>
        </w:rPr>
        <w:t>Medicine amendment recommendations, with supporting evidence and rationale are listed below.</w:t>
      </w:r>
    </w:p>
    <w:p w14:paraId="61B134E4" w14:textId="5010F991" w:rsidR="008A6F6A" w:rsidRPr="00D30030" w:rsidRDefault="008A6F6A" w:rsidP="008A6F6A">
      <w:pPr>
        <w:spacing w:after="0" w:line="240" w:lineRule="auto"/>
        <w:jc w:val="both"/>
        <w:rPr>
          <w:rFonts w:cstheme="minorHAnsi"/>
          <w:b/>
          <w:spacing w:val="-2"/>
          <w:lang w:eastAsia="ar-SA"/>
        </w:rPr>
      </w:pPr>
      <w:r w:rsidRPr="00D30030">
        <w:rPr>
          <w:rFonts w:cstheme="minorHAnsi"/>
          <w:b/>
          <w:spacing w:val="-2"/>
          <w:lang w:eastAsia="ar-SA"/>
        </w:rPr>
        <w:t xml:space="preserve">Kindly review the medicine amendments in the context of the </w:t>
      </w:r>
      <w:r>
        <w:rPr>
          <w:rFonts w:cstheme="minorHAnsi"/>
          <w:b/>
          <w:spacing w:val="-2"/>
          <w:lang w:eastAsia="ar-SA"/>
        </w:rPr>
        <w:t>respective standard treatment guideline (STG)</w:t>
      </w:r>
      <w:r w:rsidR="006D2CA9">
        <w:rPr>
          <w:rFonts w:cstheme="minorHAnsi"/>
          <w:b/>
          <w:spacing w:val="-2"/>
          <w:lang w:eastAsia="ar-SA"/>
        </w:rPr>
        <w:t xml:space="preserve"> and supporting medicine reviews and costing analyses.</w:t>
      </w:r>
    </w:p>
    <w:p w14:paraId="1F3389EC" w14:textId="1238AD25" w:rsidR="008A6F6A" w:rsidRDefault="008A6F6A" w:rsidP="008A6F6A">
      <w:pPr>
        <w:spacing w:after="0" w:line="240" w:lineRule="auto"/>
        <w:jc w:val="both"/>
        <w:rPr>
          <w:rFonts w:cstheme="minorHAnsi"/>
          <w:b/>
          <w:lang w:val="en-GB" w:eastAsia="ar-SA"/>
        </w:rPr>
      </w:pPr>
    </w:p>
    <w:p w14:paraId="1E0C3B12" w14:textId="5B376A52" w:rsidR="00E42740" w:rsidRDefault="00DB20AE" w:rsidP="008A6F6A">
      <w:pPr>
        <w:spacing w:after="0" w:line="240" w:lineRule="auto"/>
        <w:jc w:val="both"/>
        <w:rPr>
          <w:rFonts w:ascii="Calibri" w:eastAsia="Calibri" w:hAnsi="Calibri" w:cs="Calibri"/>
          <w:b/>
          <w:szCs w:val="10"/>
          <w:lang w:val="en-ZA"/>
        </w:rPr>
      </w:pPr>
      <w:r w:rsidRPr="00202F7A">
        <w:rPr>
          <w:rFonts w:ascii="Calibri" w:eastAsia="Calibri" w:hAnsi="Calibri" w:cs="Calibri"/>
          <w:b/>
          <w:szCs w:val="10"/>
          <w:lang w:val="en-ZA"/>
        </w:rPr>
        <w:t xml:space="preserve">A: </w:t>
      </w:r>
      <w:r w:rsidR="00E42740">
        <w:rPr>
          <w:rFonts w:ascii="Calibri" w:eastAsia="Calibri" w:hAnsi="Calibri" w:cs="Calibri"/>
          <w:b/>
          <w:szCs w:val="10"/>
          <w:lang w:val="en-ZA"/>
        </w:rPr>
        <w:t xml:space="preserve">NEW </w:t>
      </w:r>
      <w:r w:rsidR="00797E3B">
        <w:rPr>
          <w:rFonts w:ascii="Calibri" w:eastAsia="Calibri" w:hAnsi="Calibri" w:cs="Calibri"/>
          <w:b/>
          <w:szCs w:val="10"/>
          <w:lang w:val="en-ZA"/>
        </w:rPr>
        <w:t>STANDARD TREATMENT GUIDELINES</w:t>
      </w:r>
    </w:p>
    <w:tbl>
      <w:tblPr>
        <w:tblStyle w:val="TableGrid"/>
        <w:tblW w:w="5000" w:type="pct"/>
        <w:tblLook w:val="04A0" w:firstRow="1" w:lastRow="0" w:firstColumn="1" w:lastColumn="0" w:noHBand="0" w:noVBand="1"/>
      </w:tblPr>
      <w:tblGrid>
        <w:gridCol w:w="863"/>
        <w:gridCol w:w="4377"/>
        <w:gridCol w:w="1558"/>
        <w:gridCol w:w="3658"/>
      </w:tblGrid>
      <w:tr w:rsidR="000E639D" w:rsidRPr="00687E6D" w14:paraId="3F427479" w14:textId="77777777" w:rsidTr="000E639D">
        <w:tc>
          <w:tcPr>
            <w:tcW w:w="413" w:type="pct"/>
            <w:shd w:val="clear" w:color="auto" w:fill="D0CECE" w:themeFill="background2" w:themeFillShade="E6"/>
          </w:tcPr>
          <w:p w14:paraId="6164ABB9" w14:textId="77777777" w:rsidR="00797E3B" w:rsidRPr="00687E6D" w:rsidRDefault="00797E3B" w:rsidP="000E639D">
            <w:pPr>
              <w:rPr>
                <w:rFonts w:cstheme="minorHAnsi"/>
                <w:b/>
                <w:sz w:val="18"/>
                <w:lang w:val="en-GB" w:eastAsia="ar-SA"/>
              </w:rPr>
            </w:pPr>
            <w:r w:rsidRPr="00687E6D">
              <w:rPr>
                <w:rFonts w:cstheme="minorHAnsi"/>
                <w:b/>
                <w:sz w:val="18"/>
                <w:lang w:val="en-GB" w:eastAsia="ar-SA"/>
              </w:rPr>
              <w:t>SECTION</w:t>
            </w:r>
          </w:p>
        </w:tc>
        <w:tc>
          <w:tcPr>
            <w:tcW w:w="2093" w:type="pct"/>
            <w:shd w:val="clear" w:color="auto" w:fill="D0CECE" w:themeFill="background2" w:themeFillShade="E6"/>
          </w:tcPr>
          <w:p w14:paraId="6E1CD51C" w14:textId="77777777" w:rsidR="00797E3B" w:rsidRPr="00687E6D" w:rsidRDefault="00797E3B" w:rsidP="000E639D">
            <w:pPr>
              <w:rPr>
                <w:rFonts w:cstheme="minorHAnsi"/>
                <w:b/>
                <w:sz w:val="18"/>
                <w:lang w:val="en-GB" w:eastAsia="ar-SA"/>
              </w:rPr>
            </w:pPr>
            <w:r w:rsidRPr="00687E6D">
              <w:rPr>
                <w:rFonts w:cstheme="minorHAnsi"/>
                <w:b/>
                <w:sz w:val="18"/>
                <w:lang w:val="en-GB" w:eastAsia="ar-SA"/>
              </w:rPr>
              <w:t>CONDITION</w:t>
            </w:r>
          </w:p>
        </w:tc>
        <w:tc>
          <w:tcPr>
            <w:tcW w:w="745" w:type="pct"/>
            <w:shd w:val="clear" w:color="auto" w:fill="D0CECE" w:themeFill="background2" w:themeFillShade="E6"/>
          </w:tcPr>
          <w:p w14:paraId="63288B81" w14:textId="77777777" w:rsidR="00797E3B" w:rsidRPr="00687E6D" w:rsidRDefault="00797E3B" w:rsidP="000E639D">
            <w:pPr>
              <w:jc w:val="center"/>
              <w:rPr>
                <w:rFonts w:cstheme="minorHAnsi"/>
                <w:b/>
                <w:sz w:val="18"/>
                <w:lang w:val="en-GB" w:eastAsia="ar-SA"/>
              </w:rPr>
            </w:pPr>
            <w:r w:rsidRPr="00687E6D">
              <w:rPr>
                <w:rFonts w:cstheme="minorHAnsi"/>
                <w:b/>
                <w:sz w:val="18"/>
                <w:lang w:val="en-GB" w:eastAsia="ar-SA"/>
              </w:rPr>
              <w:t>MEDICINE MANAGEMENT</w:t>
            </w:r>
          </w:p>
        </w:tc>
        <w:tc>
          <w:tcPr>
            <w:tcW w:w="1749" w:type="pct"/>
            <w:shd w:val="clear" w:color="auto" w:fill="D0CECE" w:themeFill="background2" w:themeFillShade="E6"/>
          </w:tcPr>
          <w:p w14:paraId="257CC947" w14:textId="77777777" w:rsidR="00797E3B" w:rsidRPr="00687E6D" w:rsidRDefault="00797E3B" w:rsidP="000E639D">
            <w:pPr>
              <w:rPr>
                <w:rFonts w:cstheme="minorHAnsi"/>
                <w:b/>
                <w:sz w:val="18"/>
                <w:lang w:val="en-GB" w:eastAsia="ar-SA"/>
              </w:rPr>
            </w:pPr>
            <w:r w:rsidRPr="00687E6D">
              <w:rPr>
                <w:rFonts w:cstheme="minorHAnsi"/>
                <w:b/>
                <w:sz w:val="18"/>
                <w:lang w:val="en-GB" w:eastAsia="ar-SA"/>
              </w:rPr>
              <w:t>MEDICINE ADDED</w:t>
            </w:r>
          </w:p>
        </w:tc>
      </w:tr>
      <w:tr w:rsidR="000E639D" w:rsidRPr="00687E6D" w14:paraId="3E7A77AA" w14:textId="77777777" w:rsidTr="000E639D">
        <w:tc>
          <w:tcPr>
            <w:tcW w:w="413" w:type="pct"/>
          </w:tcPr>
          <w:p w14:paraId="737B0AF7" w14:textId="77F6C35F" w:rsidR="00797E3B" w:rsidRPr="00687E6D" w:rsidRDefault="00797E3B" w:rsidP="004450CB">
            <w:pPr>
              <w:jc w:val="both"/>
              <w:rPr>
                <w:rFonts w:cstheme="minorHAnsi"/>
                <w:b/>
                <w:sz w:val="18"/>
                <w:lang w:val="en-GB" w:eastAsia="ar-SA"/>
              </w:rPr>
            </w:pPr>
            <w:r>
              <w:rPr>
                <w:rFonts w:cstheme="minorHAnsi"/>
                <w:b/>
                <w:sz w:val="18"/>
                <w:lang w:val="en-GB" w:eastAsia="ar-SA"/>
              </w:rPr>
              <w:t>20.11</w:t>
            </w:r>
          </w:p>
        </w:tc>
        <w:tc>
          <w:tcPr>
            <w:tcW w:w="2093" w:type="pct"/>
          </w:tcPr>
          <w:p w14:paraId="52608ABC" w14:textId="5A15ABF3" w:rsidR="00797E3B" w:rsidRPr="00687E6D" w:rsidRDefault="00797E3B" w:rsidP="004450CB">
            <w:pPr>
              <w:jc w:val="both"/>
              <w:rPr>
                <w:rFonts w:cstheme="minorHAnsi"/>
                <w:sz w:val="18"/>
                <w:lang w:val="en-GB" w:eastAsia="ar-SA"/>
              </w:rPr>
            </w:pPr>
            <w:r w:rsidRPr="00797E3B">
              <w:rPr>
                <w:rFonts w:cstheme="minorHAnsi"/>
                <w:sz w:val="18"/>
                <w:lang w:val="en-GB" w:eastAsia="ar-SA"/>
              </w:rPr>
              <w:t>Rapid sequence induction and intubation</w:t>
            </w:r>
          </w:p>
        </w:tc>
        <w:tc>
          <w:tcPr>
            <w:tcW w:w="745" w:type="pct"/>
          </w:tcPr>
          <w:p w14:paraId="5CB72271" w14:textId="0C72801E" w:rsidR="00797E3B" w:rsidRPr="00687E6D" w:rsidRDefault="00797E3B" w:rsidP="004450CB">
            <w:pPr>
              <w:jc w:val="center"/>
              <w:rPr>
                <w:rFonts w:cstheme="minorHAnsi"/>
                <w:sz w:val="18"/>
                <w:lang w:val="en-GB" w:eastAsia="ar-SA"/>
              </w:rPr>
            </w:pPr>
            <w:r>
              <w:rPr>
                <w:rFonts w:cstheme="minorHAnsi"/>
                <w:sz w:val="18"/>
                <w:lang w:val="en-GB" w:eastAsia="ar-SA"/>
              </w:rPr>
              <w:t>No</w:t>
            </w:r>
          </w:p>
        </w:tc>
        <w:tc>
          <w:tcPr>
            <w:tcW w:w="1749" w:type="pct"/>
          </w:tcPr>
          <w:p w14:paraId="78B12236" w14:textId="1FA9B586" w:rsidR="00797E3B" w:rsidRPr="00687E6D" w:rsidRDefault="00797E3B" w:rsidP="004450CB">
            <w:pPr>
              <w:rPr>
                <w:rFonts w:cstheme="minorHAnsi"/>
                <w:sz w:val="18"/>
                <w:lang w:val="en-GB" w:eastAsia="ar-SA"/>
              </w:rPr>
            </w:pPr>
            <w:r>
              <w:rPr>
                <w:rFonts w:cstheme="minorHAnsi"/>
                <w:sz w:val="18"/>
                <w:lang w:val="en-GB" w:eastAsia="ar-SA"/>
              </w:rPr>
              <w:t>n/a</w:t>
            </w:r>
          </w:p>
        </w:tc>
      </w:tr>
      <w:tr w:rsidR="00797E3B" w:rsidRPr="00687E6D" w14:paraId="2151EF3E" w14:textId="77777777" w:rsidTr="000E639D">
        <w:tc>
          <w:tcPr>
            <w:tcW w:w="413" w:type="pct"/>
            <w:vMerge w:val="restart"/>
          </w:tcPr>
          <w:p w14:paraId="3EDD386C" w14:textId="3B299D8B" w:rsidR="00797E3B" w:rsidRPr="00687E6D" w:rsidRDefault="00797E3B" w:rsidP="00797E3B">
            <w:pPr>
              <w:jc w:val="both"/>
              <w:rPr>
                <w:rFonts w:cstheme="minorHAnsi"/>
                <w:b/>
                <w:sz w:val="18"/>
                <w:lang w:val="en-GB" w:eastAsia="ar-SA"/>
              </w:rPr>
            </w:pPr>
            <w:r>
              <w:rPr>
                <w:rFonts w:cstheme="minorHAnsi"/>
                <w:b/>
                <w:sz w:val="18"/>
                <w:lang w:val="en-GB" w:eastAsia="ar-SA"/>
              </w:rPr>
              <w:t>20.11.1</w:t>
            </w:r>
          </w:p>
        </w:tc>
        <w:tc>
          <w:tcPr>
            <w:tcW w:w="2093" w:type="pct"/>
            <w:vMerge w:val="restart"/>
          </w:tcPr>
          <w:p w14:paraId="47CA5D7A" w14:textId="77E8C6F9" w:rsidR="00797E3B" w:rsidRPr="00687E6D" w:rsidRDefault="00797E3B" w:rsidP="00797E3B">
            <w:pPr>
              <w:jc w:val="both"/>
              <w:rPr>
                <w:rFonts w:cstheme="minorHAnsi"/>
                <w:sz w:val="18"/>
                <w:lang w:val="en-GB" w:eastAsia="ar-SA"/>
              </w:rPr>
            </w:pPr>
            <w:r>
              <w:rPr>
                <w:rFonts w:cstheme="minorHAnsi"/>
                <w:sz w:val="18"/>
                <w:lang w:val="en-GB" w:eastAsia="ar-SA"/>
              </w:rPr>
              <w:t>Induction agents</w:t>
            </w:r>
          </w:p>
        </w:tc>
        <w:tc>
          <w:tcPr>
            <w:tcW w:w="745" w:type="pct"/>
            <w:vMerge w:val="restart"/>
          </w:tcPr>
          <w:p w14:paraId="3970EDC8" w14:textId="1A917AC6" w:rsidR="00797E3B" w:rsidRPr="00687E6D" w:rsidRDefault="00797E3B" w:rsidP="00797E3B">
            <w:pPr>
              <w:jc w:val="center"/>
              <w:rPr>
                <w:rFonts w:cstheme="minorHAnsi"/>
                <w:sz w:val="18"/>
                <w:lang w:val="en-GB" w:eastAsia="ar-SA"/>
              </w:rPr>
            </w:pPr>
            <w:r>
              <w:rPr>
                <w:rFonts w:cstheme="minorHAnsi"/>
                <w:sz w:val="18"/>
                <w:lang w:val="en-GB" w:eastAsia="ar-SA"/>
              </w:rPr>
              <w:t>Yes</w:t>
            </w:r>
          </w:p>
        </w:tc>
        <w:tc>
          <w:tcPr>
            <w:tcW w:w="1749" w:type="pct"/>
          </w:tcPr>
          <w:p w14:paraId="3C5EF10A" w14:textId="415B5317" w:rsidR="00797E3B" w:rsidRPr="00797E3B" w:rsidRDefault="00797E3B" w:rsidP="00797E3B">
            <w:pPr>
              <w:rPr>
                <w:rFonts w:cstheme="minorHAnsi"/>
                <w:sz w:val="18"/>
                <w:szCs w:val="6"/>
                <w:lang w:val="en-GB" w:eastAsia="ar-SA"/>
              </w:rPr>
            </w:pPr>
            <w:r w:rsidRPr="00797E3B">
              <w:rPr>
                <w:rFonts w:ascii="Calibri" w:eastAsia="Calibri" w:hAnsi="Calibri" w:cs="Calibri"/>
                <w:bCs/>
                <w:sz w:val="18"/>
                <w:szCs w:val="6"/>
                <w:lang w:val="en-ZA"/>
              </w:rPr>
              <w:t>Propofol, IV</w:t>
            </w:r>
          </w:p>
        </w:tc>
      </w:tr>
      <w:tr w:rsidR="00797E3B" w:rsidRPr="00687E6D" w14:paraId="288963C3" w14:textId="77777777" w:rsidTr="000E639D">
        <w:tc>
          <w:tcPr>
            <w:tcW w:w="413" w:type="pct"/>
            <w:vMerge/>
          </w:tcPr>
          <w:p w14:paraId="20622C42" w14:textId="77777777" w:rsidR="00797E3B" w:rsidRDefault="00797E3B" w:rsidP="00797E3B">
            <w:pPr>
              <w:jc w:val="both"/>
              <w:rPr>
                <w:rFonts w:cstheme="minorHAnsi"/>
                <w:b/>
                <w:sz w:val="18"/>
                <w:lang w:val="en-GB" w:eastAsia="ar-SA"/>
              </w:rPr>
            </w:pPr>
          </w:p>
        </w:tc>
        <w:tc>
          <w:tcPr>
            <w:tcW w:w="2093" w:type="pct"/>
            <w:vMerge/>
          </w:tcPr>
          <w:p w14:paraId="714895FF" w14:textId="77777777" w:rsidR="00797E3B" w:rsidRDefault="00797E3B" w:rsidP="00797E3B">
            <w:pPr>
              <w:jc w:val="both"/>
              <w:rPr>
                <w:rFonts w:cstheme="minorHAnsi"/>
                <w:sz w:val="18"/>
                <w:lang w:val="en-GB" w:eastAsia="ar-SA"/>
              </w:rPr>
            </w:pPr>
          </w:p>
        </w:tc>
        <w:tc>
          <w:tcPr>
            <w:tcW w:w="745" w:type="pct"/>
            <w:vMerge/>
          </w:tcPr>
          <w:p w14:paraId="08AF566B" w14:textId="77777777" w:rsidR="00797E3B" w:rsidRDefault="00797E3B" w:rsidP="00797E3B">
            <w:pPr>
              <w:jc w:val="center"/>
              <w:rPr>
                <w:rFonts w:cstheme="minorHAnsi"/>
                <w:sz w:val="18"/>
                <w:lang w:val="en-GB" w:eastAsia="ar-SA"/>
              </w:rPr>
            </w:pPr>
          </w:p>
        </w:tc>
        <w:tc>
          <w:tcPr>
            <w:tcW w:w="1749" w:type="pct"/>
          </w:tcPr>
          <w:p w14:paraId="4993073C" w14:textId="5063C1DC" w:rsidR="00797E3B" w:rsidRPr="00797E3B" w:rsidRDefault="00797E3B" w:rsidP="00797E3B">
            <w:pPr>
              <w:rPr>
                <w:rFonts w:cstheme="minorHAnsi"/>
                <w:sz w:val="18"/>
                <w:szCs w:val="6"/>
                <w:lang w:val="en-GB" w:eastAsia="ar-SA"/>
              </w:rPr>
            </w:pPr>
            <w:r w:rsidRPr="00797E3B">
              <w:rPr>
                <w:rFonts w:ascii="Calibri" w:eastAsia="Calibri" w:hAnsi="Calibri" w:cs="Calibri"/>
                <w:bCs/>
                <w:sz w:val="18"/>
                <w:szCs w:val="6"/>
                <w:lang w:val="en-ZA"/>
              </w:rPr>
              <w:t xml:space="preserve">Etomidate, IV </w:t>
            </w:r>
          </w:p>
        </w:tc>
      </w:tr>
      <w:tr w:rsidR="00797E3B" w:rsidRPr="00687E6D" w14:paraId="678B1F4B" w14:textId="77777777" w:rsidTr="000E639D">
        <w:tc>
          <w:tcPr>
            <w:tcW w:w="413" w:type="pct"/>
            <w:vMerge/>
          </w:tcPr>
          <w:p w14:paraId="470314CF" w14:textId="77777777" w:rsidR="00797E3B" w:rsidRDefault="00797E3B" w:rsidP="00797E3B">
            <w:pPr>
              <w:jc w:val="both"/>
              <w:rPr>
                <w:rFonts w:cstheme="minorHAnsi"/>
                <w:b/>
                <w:sz w:val="18"/>
                <w:lang w:val="en-GB" w:eastAsia="ar-SA"/>
              </w:rPr>
            </w:pPr>
          </w:p>
        </w:tc>
        <w:tc>
          <w:tcPr>
            <w:tcW w:w="2093" w:type="pct"/>
            <w:vMerge/>
          </w:tcPr>
          <w:p w14:paraId="5C4218D9" w14:textId="77777777" w:rsidR="00797E3B" w:rsidRDefault="00797E3B" w:rsidP="00797E3B">
            <w:pPr>
              <w:jc w:val="both"/>
              <w:rPr>
                <w:rFonts w:cstheme="minorHAnsi"/>
                <w:sz w:val="18"/>
                <w:lang w:val="en-GB" w:eastAsia="ar-SA"/>
              </w:rPr>
            </w:pPr>
          </w:p>
        </w:tc>
        <w:tc>
          <w:tcPr>
            <w:tcW w:w="745" w:type="pct"/>
            <w:vMerge/>
          </w:tcPr>
          <w:p w14:paraId="6EC019E4" w14:textId="77777777" w:rsidR="00797E3B" w:rsidRDefault="00797E3B" w:rsidP="00797E3B">
            <w:pPr>
              <w:jc w:val="center"/>
              <w:rPr>
                <w:rFonts w:cstheme="minorHAnsi"/>
                <w:sz w:val="18"/>
                <w:lang w:val="en-GB" w:eastAsia="ar-SA"/>
              </w:rPr>
            </w:pPr>
          </w:p>
        </w:tc>
        <w:tc>
          <w:tcPr>
            <w:tcW w:w="1749" w:type="pct"/>
          </w:tcPr>
          <w:p w14:paraId="5AAE3098" w14:textId="33F7B2C7" w:rsidR="00797E3B" w:rsidRPr="00797E3B" w:rsidRDefault="00797E3B" w:rsidP="00797E3B">
            <w:pPr>
              <w:rPr>
                <w:rFonts w:cstheme="minorHAnsi"/>
                <w:sz w:val="18"/>
                <w:szCs w:val="6"/>
                <w:lang w:val="en-GB" w:eastAsia="ar-SA"/>
              </w:rPr>
            </w:pPr>
            <w:r w:rsidRPr="00797E3B">
              <w:rPr>
                <w:rFonts w:ascii="Calibri" w:eastAsia="Calibri" w:hAnsi="Calibri" w:cs="Calibri"/>
                <w:bCs/>
                <w:sz w:val="18"/>
                <w:szCs w:val="6"/>
                <w:lang w:val="en-ZA"/>
              </w:rPr>
              <w:t>Ketamine, IV</w:t>
            </w:r>
          </w:p>
        </w:tc>
      </w:tr>
      <w:tr w:rsidR="00DF0D09" w:rsidRPr="00687E6D" w14:paraId="0A34DF74" w14:textId="77777777" w:rsidTr="000E639D">
        <w:tc>
          <w:tcPr>
            <w:tcW w:w="413" w:type="pct"/>
            <w:vMerge w:val="restart"/>
          </w:tcPr>
          <w:p w14:paraId="33C4BA1F" w14:textId="04E66361" w:rsidR="00DF0D09" w:rsidRPr="00687E6D" w:rsidRDefault="00DF0D09" w:rsidP="00DF0D09">
            <w:pPr>
              <w:jc w:val="both"/>
              <w:rPr>
                <w:rFonts w:cstheme="minorHAnsi"/>
                <w:b/>
                <w:sz w:val="18"/>
                <w:lang w:val="en-GB" w:eastAsia="ar-SA"/>
              </w:rPr>
            </w:pPr>
            <w:r>
              <w:rPr>
                <w:rFonts w:cstheme="minorHAnsi"/>
                <w:b/>
                <w:sz w:val="18"/>
                <w:lang w:val="en-GB" w:eastAsia="ar-SA"/>
              </w:rPr>
              <w:t>20.11.2</w:t>
            </w:r>
          </w:p>
        </w:tc>
        <w:tc>
          <w:tcPr>
            <w:tcW w:w="2093" w:type="pct"/>
            <w:vMerge w:val="restart"/>
          </w:tcPr>
          <w:p w14:paraId="1D2504AA" w14:textId="56F7EE9A" w:rsidR="00DF0D09" w:rsidRPr="00687E6D" w:rsidRDefault="00DF0D09" w:rsidP="00DF0D09">
            <w:pPr>
              <w:jc w:val="both"/>
              <w:rPr>
                <w:rFonts w:cstheme="minorHAnsi"/>
                <w:sz w:val="18"/>
                <w:lang w:val="en-GB" w:eastAsia="ar-SA"/>
              </w:rPr>
            </w:pPr>
            <w:r>
              <w:rPr>
                <w:rFonts w:cstheme="minorHAnsi"/>
                <w:sz w:val="18"/>
                <w:lang w:val="en-GB" w:eastAsia="ar-SA"/>
              </w:rPr>
              <w:t>Muscle relaxants</w:t>
            </w:r>
          </w:p>
        </w:tc>
        <w:tc>
          <w:tcPr>
            <w:tcW w:w="745" w:type="pct"/>
            <w:vMerge w:val="restart"/>
          </w:tcPr>
          <w:p w14:paraId="3030B996" w14:textId="7DB738B8" w:rsidR="00DF0D09" w:rsidRPr="00687E6D" w:rsidRDefault="00DF0D09" w:rsidP="00DF0D09">
            <w:pPr>
              <w:jc w:val="center"/>
              <w:rPr>
                <w:rFonts w:cstheme="minorHAnsi"/>
                <w:sz w:val="18"/>
                <w:lang w:val="en-GB" w:eastAsia="ar-SA"/>
              </w:rPr>
            </w:pPr>
            <w:r>
              <w:rPr>
                <w:rFonts w:cstheme="minorHAnsi"/>
                <w:sz w:val="18"/>
                <w:lang w:val="en-GB" w:eastAsia="ar-SA"/>
              </w:rPr>
              <w:t>Yes</w:t>
            </w:r>
          </w:p>
        </w:tc>
        <w:tc>
          <w:tcPr>
            <w:tcW w:w="1749" w:type="pct"/>
          </w:tcPr>
          <w:p w14:paraId="584C8270" w14:textId="6CFEE88D" w:rsidR="00DF0D09" w:rsidRPr="00DF0D09" w:rsidRDefault="00DF0D09" w:rsidP="00DF0D09">
            <w:pPr>
              <w:rPr>
                <w:rFonts w:cstheme="minorHAnsi"/>
                <w:sz w:val="18"/>
                <w:szCs w:val="18"/>
                <w:lang w:val="en-GB" w:eastAsia="ar-SA"/>
              </w:rPr>
            </w:pPr>
            <w:r w:rsidRPr="00DF0D09">
              <w:rPr>
                <w:sz w:val="18"/>
                <w:szCs w:val="18"/>
              </w:rPr>
              <w:t>Suxamethonium, IV</w:t>
            </w:r>
          </w:p>
        </w:tc>
      </w:tr>
      <w:tr w:rsidR="00DF0D09" w:rsidRPr="00687E6D" w14:paraId="317B94AD" w14:textId="77777777" w:rsidTr="000E639D">
        <w:tc>
          <w:tcPr>
            <w:tcW w:w="413" w:type="pct"/>
            <w:vMerge/>
          </w:tcPr>
          <w:p w14:paraId="7A6880A5" w14:textId="77777777" w:rsidR="00DF0D09" w:rsidRPr="00687E6D" w:rsidRDefault="00DF0D09" w:rsidP="00DF0D09">
            <w:pPr>
              <w:jc w:val="both"/>
              <w:rPr>
                <w:rFonts w:cstheme="minorHAnsi"/>
                <w:b/>
                <w:sz w:val="18"/>
                <w:lang w:val="en-GB" w:eastAsia="ar-SA"/>
              </w:rPr>
            </w:pPr>
          </w:p>
        </w:tc>
        <w:tc>
          <w:tcPr>
            <w:tcW w:w="2093" w:type="pct"/>
            <w:vMerge/>
          </w:tcPr>
          <w:p w14:paraId="161C3BCC" w14:textId="77777777" w:rsidR="00DF0D09" w:rsidRPr="00687E6D" w:rsidRDefault="00DF0D09" w:rsidP="00DF0D09">
            <w:pPr>
              <w:jc w:val="both"/>
              <w:rPr>
                <w:rFonts w:cstheme="minorHAnsi"/>
                <w:sz w:val="18"/>
                <w:lang w:val="en-GB" w:eastAsia="ar-SA"/>
              </w:rPr>
            </w:pPr>
          </w:p>
        </w:tc>
        <w:tc>
          <w:tcPr>
            <w:tcW w:w="745" w:type="pct"/>
            <w:vMerge/>
          </w:tcPr>
          <w:p w14:paraId="542EAC58" w14:textId="77777777" w:rsidR="00DF0D09" w:rsidRPr="00687E6D" w:rsidRDefault="00DF0D09" w:rsidP="00DF0D09">
            <w:pPr>
              <w:jc w:val="center"/>
              <w:rPr>
                <w:rFonts w:cstheme="minorHAnsi"/>
                <w:sz w:val="18"/>
                <w:lang w:val="en-GB" w:eastAsia="ar-SA"/>
              </w:rPr>
            </w:pPr>
          </w:p>
        </w:tc>
        <w:tc>
          <w:tcPr>
            <w:tcW w:w="1749" w:type="pct"/>
          </w:tcPr>
          <w:p w14:paraId="1D967E64" w14:textId="743BACED" w:rsidR="00DF0D09" w:rsidRPr="00DF0D09" w:rsidRDefault="00DF0D09" w:rsidP="00DF0D09">
            <w:pPr>
              <w:rPr>
                <w:rFonts w:cstheme="minorHAnsi"/>
                <w:sz w:val="18"/>
                <w:szCs w:val="18"/>
                <w:lang w:val="en-GB" w:eastAsia="ar-SA"/>
              </w:rPr>
            </w:pPr>
            <w:r w:rsidRPr="00DF0D09">
              <w:rPr>
                <w:sz w:val="18"/>
                <w:szCs w:val="18"/>
              </w:rPr>
              <w:t>Rocuronium, IV</w:t>
            </w:r>
          </w:p>
        </w:tc>
      </w:tr>
      <w:tr w:rsidR="000E639D" w:rsidRPr="00687E6D" w14:paraId="13D01940" w14:textId="77777777" w:rsidTr="000E639D">
        <w:tc>
          <w:tcPr>
            <w:tcW w:w="413" w:type="pct"/>
            <w:vMerge w:val="restart"/>
          </w:tcPr>
          <w:p w14:paraId="24979F70" w14:textId="72D489FF" w:rsidR="000E639D" w:rsidRPr="00687E6D" w:rsidRDefault="000E639D" w:rsidP="000E639D">
            <w:pPr>
              <w:jc w:val="both"/>
              <w:rPr>
                <w:rFonts w:cstheme="minorHAnsi"/>
                <w:b/>
                <w:sz w:val="18"/>
                <w:lang w:val="en-GB" w:eastAsia="ar-SA"/>
              </w:rPr>
            </w:pPr>
            <w:r>
              <w:rPr>
                <w:rFonts w:cstheme="minorHAnsi"/>
                <w:b/>
                <w:sz w:val="18"/>
                <w:lang w:val="en-GB" w:eastAsia="ar-SA"/>
              </w:rPr>
              <w:t>20.11.3</w:t>
            </w:r>
          </w:p>
        </w:tc>
        <w:tc>
          <w:tcPr>
            <w:tcW w:w="2093" w:type="pct"/>
            <w:vMerge w:val="restart"/>
          </w:tcPr>
          <w:p w14:paraId="7712B85B" w14:textId="77777777" w:rsidR="000E639D" w:rsidRDefault="000E639D" w:rsidP="000E639D">
            <w:pPr>
              <w:jc w:val="both"/>
              <w:rPr>
                <w:rFonts w:cstheme="minorHAnsi"/>
                <w:sz w:val="18"/>
                <w:lang w:val="en-GB" w:eastAsia="ar-SA"/>
              </w:rPr>
            </w:pPr>
            <w:r>
              <w:rPr>
                <w:rFonts w:cstheme="minorHAnsi"/>
                <w:sz w:val="18"/>
                <w:lang w:val="en-GB" w:eastAsia="ar-SA"/>
              </w:rPr>
              <w:t>Induction agents</w:t>
            </w:r>
          </w:p>
          <w:p w14:paraId="67CC3FD6" w14:textId="4BB78835" w:rsidR="000E639D" w:rsidRPr="000E639D" w:rsidRDefault="000E639D" w:rsidP="000E639D">
            <w:pPr>
              <w:jc w:val="both"/>
              <w:rPr>
                <w:rFonts w:cstheme="minorHAnsi"/>
                <w:i/>
                <w:iCs/>
                <w:sz w:val="18"/>
                <w:lang w:val="en-GB" w:eastAsia="ar-SA"/>
              </w:rPr>
            </w:pPr>
            <w:r w:rsidRPr="000E639D">
              <w:rPr>
                <w:rFonts w:cstheme="minorHAnsi"/>
                <w:i/>
                <w:iCs/>
                <w:sz w:val="18"/>
                <w:lang w:val="en-GB" w:eastAsia="ar-SA"/>
              </w:rPr>
              <w:t>-Sedation</w:t>
            </w:r>
          </w:p>
        </w:tc>
        <w:tc>
          <w:tcPr>
            <w:tcW w:w="745" w:type="pct"/>
            <w:vMerge w:val="restart"/>
          </w:tcPr>
          <w:p w14:paraId="21B9DEC5" w14:textId="52D64C4E" w:rsidR="000E639D" w:rsidRPr="00687E6D" w:rsidRDefault="000E639D" w:rsidP="000E639D">
            <w:pPr>
              <w:jc w:val="center"/>
              <w:rPr>
                <w:rFonts w:cstheme="minorHAnsi"/>
                <w:sz w:val="18"/>
                <w:lang w:val="en-GB" w:eastAsia="ar-SA"/>
              </w:rPr>
            </w:pPr>
            <w:r>
              <w:rPr>
                <w:rFonts w:cstheme="minorHAnsi"/>
                <w:sz w:val="18"/>
                <w:lang w:val="en-GB" w:eastAsia="ar-SA"/>
              </w:rPr>
              <w:t>Yes</w:t>
            </w:r>
          </w:p>
        </w:tc>
        <w:tc>
          <w:tcPr>
            <w:tcW w:w="1749" w:type="pct"/>
          </w:tcPr>
          <w:p w14:paraId="72A3DFDD" w14:textId="14AF5931" w:rsidR="000E639D" w:rsidRPr="000E639D" w:rsidRDefault="000E639D" w:rsidP="000E639D">
            <w:pPr>
              <w:rPr>
                <w:rFonts w:cstheme="minorHAnsi"/>
                <w:sz w:val="18"/>
                <w:szCs w:val="6"/>
                <w:lang w:val="en-GB" w:eastAsia="ar-SA"/>
              </w:rPr>
            </w:pPr>
            <w:r w:rsidRPr="000E639D">
              <w:rPr>
                <w:rFonts w:ascii="Calibri" w:eastAsia="Calibri" w:hAnsi="Calibri" w:cs="Calibri"/>
                <w:bCs/>
                <w:sz w:val="18"/>
                <w:szCs w:val="6"/>
                <w:lang w:val="en-GB" w:eastAsia="ar-SA"/>
              </w:rPr>
              <w:t>Midazolam, IV</w:t>
            </w:r>
          </w:p>
        </w:tc>
      </w:tr>
      <w:tr w:rsidR="000E639D" w:rsidRPr="00687E6D" w14:paraId="7848D962" w14:textId="77777777" w:rsidTr="000E639D">
        <w:tc>
          <w:tcPr>
            <w:tcW w:w="413" w:type="pct"/>
            <w:vMerge/>
          </w:tcPr>
          <w:p w14:paraId="31655862" w14:textId="77777777" w:rsidR="000E639D" w:rsidRPr="00687E6D" w:rsidRDefault="000E639D" w:rsidP="000E639D">
            <w:pPr>
              <w:jc w:val="both"/>
              <w:rPr>
                <w:rFonts w:cstheme="minorHAnsi"/>
                <w:b/>
                <w:sz w:val="18"/>
                <w:lang w:val="en-GB" w:eastAsia="ar-SA"/>
              </w:rPr>
            </w:pPr>
          </w:p>
        </w:tc>
        <w:tc>
          <w:tcPr>
            <w:tcW w:w="2093" w:type="pct"/>
            <w:vMerge/>
          </w:tcPr>
          <w:p w14:paraId="17FC80EB" w14:textId="77777777" w:rsidR="000E639D" w:rsidRPr="00687E6D" w:rsidRDefault="000E639D" w:rsidP="000E639D">
            <w:pPr>
              <w:jc w:val="both"/>
              <w:rPr>
                <w:rFonts w:cstheme="minorHAnsi"/>
                <w:sz w:val="18"/>
                <w:lang w:val="en-GB" w:eastAsia="ar-SA"/>
              </w:rPr>
            </w:pPr>
          </w:p>
        </w:tc>
        <w:tc>
          <w:tcPr>
            <w:tcW w:w="745" w:type="pct"/>
            <w:vMerge/>
          </w:tcPr>
          <w:p w14:paraId="4CEA7EA1" w14:textId="77777777" w:rsidR="000E639D" w:rsidRPr="00687E6D" w:rsidRDefault="000E639D" w:rsidP="000E639D">
            <w:pPr>
              <w:jc w:val="center"/>
              <w:rPr>
                <w:rFonts w:cstheme="minorHAnsi"/>
                <w:sz w:val="18"/>
                <w:lang w:val="en-GB" w:eastAsia="ar-SA"/>
              </w:rPr>
            </w:pPr>
          </w:p>
        </w:tc>
        <w:tc>
          <w:tcPr>
            <w:tcW w:w="1749" w:type="pct"/>
          </w:tcPr>
          <w:p w14:paraId="5B08B65C" w14:textId="18CCC412" w:rsidR="000E639D" w:rsidRPr="000E639D" w:rsidRDefault="000E639D" w:rsidP="000E639D">
            <w:pPr>
              <w:rPr>
                <w:rFonts w:cstheme="minorHAnsi"/>
                <w:sz w:val="18"/>
                <w:szCs w:val="6"/>
                <w:lang w:val="en-GB" w:eastAsia="ar-SA"/>
              </w:rPr>
            </w:pPr>
            <w:r w:rsidRPr="000E639D">
              <w:rPr>
                <w:rFonts w:ascii="Calibri" w:eastAsia="Calibri" w:hAnsi="Calibri" w:cs="Calibri"/>
                <w:bCs/>
                <w:sz w:val="18"/>
                <w:szCs w:val="6"/>
                <w:lang w:val="en-GB" w:eastAsia="ar-SA"/>
              </w:rPr>
              <w:t>Propofol, IV</w:t>
            </w:r>
          </w:p>
        </w:tc>
      </w:tr>
      <w:tr w:rsidR="000E639D" w:rsidRPr="00687E6D" w14:paraId="15CE3BE9" w14:textId="77777777" w:rsidTr="000E639D">
        <w:tc>
          <w:tcPr>
            <w:tcW w:w="413" w:type="pct"/>
            <w:vMerge/>
          </w:tcPr>
          <w:p w14:paraId="1DC88F5F" w14:textId="77777777" w:rsidR="000E639D" w:rsidRPr="00687E6D" w:rsidRDefault="000E639D" w:rsidP="000E639D">
            <w:pPr>
              <w:jc w:val="both"/>
              <w:rPr>
                <w:rFonts w:cstheme="minorHAnsi"/>
                <w:b/>
                <w:sz w:val="18"/>
                <w:lang w:val="en-GB" w:eastAsia="ar-SA"/>
              </w:rPr>
            </w:pPr>
          </w:p>
        </w:tc>
        <w:tc>
          <w:tcPr>
            <w:tcW w:w="2093" w:type="pct"/>
            <w:vMerge/>
          </w:tcPr>
          <w:p w14:paraId="3230F246" w14:textId="77777777" w:rsidR="000E639D" w:rsidRPr="00687E6D" w:rsidRDefault="000E639D" w:rsidP="000E639D">
            <w:pPr>
              <w:jc w:val="both"/>
              <w:rPr>
                <w:rFonts w:cstheme="minorHAnsi"/>
                <w:sz w:val="18"/>
                <w:lang w:val="en-GB" w:eastAsia="ar-SA"/>
              </w:rPr>
            </w:pPr>
          </w:p>
        </w:tc>
        <w:tc>
          <w:tcPr>
            <w:tcW w:w="745" w:type="pct"/>
            <w:vMerge/>
          </w:tcPr>
          <w:p w14:paraId="1ACB3B34" w14:textId="77777777" w:rsidR="000E639D" w:rsidRPr="00687E6D" w:rsidRDefault="000E639D" w:rsidP="000E639D">
            <w:pPr>
              <w:jc w:val="center"/>
              <w:rPr>
                <w:rFonts w:cstheme="minorHAnsi"/>
                <w:sz w:val="18"/>
                <w:lang w:val="en-GB" w:eastAsia="ar-SA"/>
              </w:rPr>
            </w:pPr>
          </w:p>
        </w:tc>
        <w:tc>
          <w:tcPr>
            <w:tcW w:w="1749" w:type="pct"/>
          </w:tcPr>
          <w:p w14:paraId="01AAF038" w14:textId="7EFD319C" w:rsidR="000E639D" w:rsidRPr="000E639D" w:rsidRDefault="000E639D" w:rsidP="000E639D">
            <w:pPr>
              <w:rPr>
                <w:rFonts w:cstheme="minorHAnsi"/>
                <w:sz w:val="18"/>
                <w:szCs w:val="6"/>
                <w:lang w:val="en-GB" w:eastAsia="ar-SA"/>
              </w:rPr>
            </w:pPr>
            <w:r w:rsidRPr="000E639D">
              <w:rPr>
                <w:rFonts w:ascii="Calibri" w:eastAsia="Calibri" w:hAnsi="Calibri" w:cs="Calibri"/>
                <w:bCs/>
                <w:sz w:val="18"/>
                <w:szCs w:val="6"/>
                <w:lang w:val="en-GB" w:eastAsia="ar-SA"/>
              </w:rPr>
              <w:t>Lorazepam, IV</w:t>
            </w:r>
          </w:p>
        </w:tc>
      </w:tr>
      <w:tr w:rsidR="000E639D" w:rsidRPr="00687E6D" w14:paraId="030848A8" w14:textId="77777777" w:rsidTr="000E639D">
        <w:tc>
          <w:tcPr>
            <w:tcW w:w="413" w:type="pct"/>
            <w:vMerge/>
          </w:tcPr>
          <w:p w14:paraId="412EE9F2" w14:textId="77777777" w:rsidR="000E639D" w:rsidRPr="00687E6D" w:rsidRDefault="000E639D" w:rsidP="000E639D">
            <w:pPr>
              <w:jc w:val="both"/>
              <w:rPr>
                <w:rFonts w:cstheme="minorHAnsi"/>
                <w:b/>
                <w:sz w:val="18"/>
                <w:lang w:val="en-GB" w:eastAsia="ar-SA"/>
              </w:rPr>
            </w:pPr>
          </w:p>
        </w:tc>
        <w:tc>
          <w:tcPr>
            <w:tcW w:w="2093" w:type="pct"/>
            <w:vMerge w:val="restart"/>
          </w:tcPr>
          <w:p w14:paraId="3FD1D137" w14:textId="6B46DC86" w:rsidR="000E639D" w:rsidRPr="00687E6D" w:rsidRDefault="000E639D" w:rsidP="000E639D">
            <w:pPr>
              <w:jc w:val="both"/>
              <w:rPr>
                <w:rFonts w:cstheme="minorHAnsi"/>
                <w:sz w:val="18"/>
                <w:lang w:val="en-GB" w:eastAsia="ar-SA"/>
              </w:rPr>
            </w:pPr>
            <w:r w:rsidRPr="004450CB">
              <w:rPr>
                <w:rFonts w:cstheme="minorHAnsi"/>
                <w:i/>
                <w:iCs/>
                <w:sz w:val="18"/>
                <w:lang w:val="en-GB" w:eastAsia="ar-SA"/>
              </w:rPr>
              <w:t>-</w:t>
            </w:r>
            <w:r>
              <w:rPr>
                <w:rFonts w:cstheme="minorHAnsi"/>
                <w:i/>
                <w:iCs/>
                <w:sz w:val="18"/>
                <w:lang w:val="en-GB" w:eastAsia="ar-SA"/>
              </w:rPr>
              <w:t>Supplemental analgesia</w:t>
            </w:r>
          </w:p>
        </w:tc>
        <w:tc>
          <w:tcPr>
            <w:tcW w:w="745" w:type="pct"/>
            <w:vMerge w:val="restart"/>
          </w:tcPr>
          <w:p w14:paraId="6F53FED3" w14:textId="541DB181" w:rsidR="000E639D" w:rsidRPr="00687E6D" w:rsidRDefault="000E639D" w:rsidP="000E639D">
            <w:pPr>
              <w:jc w:val="center"/>
              <w:rPr>
                <w:rFonts w:cstheme="minorHAnsi"/>
                <w:sz w:val="18"/>
                <w:lang w:val="en-GB" w:eastAsia="ar-SA"/>
              </w:rPr>
            </w:pPr>
            <w:r>
              <w:rPr>
                <w:rFonts w:cstheme="minorHAnsi"/>
                <w:sz w:val="18"/>
                <w:lang w:val="en-GB" w:eastAsia="ar-SA"/>
              </w:rPr>
              <w:t>Yes</w:t>
            </w:r>
          </w:p>
        </w:tc>
        <w:tc>
          <w:tcPr>
            <w:tcW w:w="1749" w:type="pct"/>
          </w:tcPr>
          <w:p w14:paraId="0463C850" w14:textId="51200A8D" w:rsidR="000E639D" w:rsidRPr="000E639D" w:rsidRDefault="000E639D" w:rsidP="000E639D">
            <w:pPr>
              <w:rPr>
                <w:rFonts w:cstheme="minorHAnsi"/>
                <w:sz w:val="18"/>
                <w:szCs w:val="18"/>
                <w:lang w:val="en-GB" w:eastAsia="ar-SA"/>
              </w:rPr>
            </w:pPr>
            <w:r w:rsidRPr="000E639D">
              <w:rPr>
                <w:sz w:val="18"/>
                <w:szCs w:val="18"/>
              </w:rPr>
              <w:t>Morphine, IV</w:t>
            </w:r>
          </w:p>
        </w:tc>
      </w:tr>
      <w:tr w:rsidR="000E639D" w:rsidRPr="00687E6D" w14:paraId="4EA8D908" w14:textId="77777777" w:rsidTr="000E639D">
        <w:tc>
          <w:tcPr>
            <w:tcW w:w="413" w:type="pct"/>
            <w:vMerge/>
          </w:tcPr>
          <w:p w14:paraId="6FD81338" w14:textId="77777777" w:rsidR="000E639D" w:rsidRPr="00687E6D" w:rsidRDefault="000E639D" w:rsidP="000E639D">
            <w:pPr>
              <w:jc w:val="both"/>
              <w:rPr>
                <w:rFonts w:cstheme="minorHAnsi"/>
                <w:b/>
                <w:sz w:val="18"/>
                <w:lang w:val="en-GB" w:eastAsia="ar-SA"/>
              </w:rPr>
            </w:pPr>
          </w:p>
        </w:tc>
        <w:tc>
          <w:tcPr>
            <w:tcW w:w="2093" w:type="pct"/>
            <w:vMerge/>
          </w:tcPr>
          <w:p w14:paraId="4F664268" w14:textId="77777777" w:rsidR="000E639D" w:rsidRPr="00687E6D" w:rsidRDefault="000E639D" w:rsidP="000E639D">
            <w:pPr>
              <w:jc w:val="both"/>
              <w:rPr>
                <w:rFonts w:cstheme="minorHAnsi"/>
                <w:sz w:val="18"/>
                <w:lang w:val="en-GB" w:eastAsia="ar-SA"/>
              </w:rPr>
            </w:pPr>
          </w:p>
        </w:tc>
        <w:tc>
          <w:tcPr>
            <w:tcW w:w="745" w:type="pct"/>
            <w:vMerge/>
          </w:tcPr>
          <w:p w14:paraId="210E7250" w14:textId="77777777" w:rsidR="000E639D" w:rsidRPr="00687E6D" w:rsidRDefault="000E639D" w:rsidP="000E639D">
            <w:pPr>
              <w:jc w:val="center"/>
              <w:rPr>
                <w:rFonts w:cstheme="minorHAnsi"/>
                <w:sz w:val="18"/>
                <w:lang w:val="en-GB" w:eastAsia="ar-SA"/>
              </w:rPr>
            </w:pPr>
          </w:p>
        </w:tc>
        <w:tc>
          <w:tcPr>
            <w:tcW w:w="1749" w:type="pct"/>
          </w:tcPr>
          <w:p w14:paraId="42443B6F" w14:textId="53BBBC2A" w:rsidR="000E639D" w:rsidRPr="000E639D" w:rsidRDefault="000E639D" w:rsidP="000E639D">
            <w:pPr>
              <w:rPr>
                <w:rFonts w:cstheme="minorHAnsi"/>
                <w:sz w:val="18"/>
                <w:szCs w:val="18"/>
                <w:lang w:val="en-GB" w:eastAsia="ar-SA"/>
              </w:rPr>
            </w:pPr>
            <w:r w:rsidRPr="000E639D">
              <w:rPr>
                <w:sz w:val="18"/>
                <w:szCs w:val="18"/>
              </w:rPr>
              <w:t>Fentanyl, IV</w:t>
            </w:r>
          </w:p>
        </w:tc>
      </w:tr>
      <w:tr w:rsidR="000E639D" w:rsidRPr="00687E6D" w14:paraId="4C514387" w14:textId="77777777" w:rsidTr="000E639D">
        <w:tc>
          <w:tcPr>
            <w:tcW w:w="413" w:type="pct"/>
            <w:vMerge/>
          </w:tcPr>
          <w:p w14:paraId="3E9ADB3A" w14:textId="77777777" w:rsidR="000E639D" w:rsidRPr="00687E6D" w:rsidRDefault="000E639D" w:rsidP="000E639D">
            <w:pPr>
              <w:jc w:val="both"/>
              <w:rPr>
                <w:rFonts w:cstheme="minorHAnsi"/>
                <w:b/>
                <w:sz w:val="18"/>
                <w:lang w:val="en-GB" w:eastAsia="ar-SA"/>
              </w:rPr>
            </w:pPr>
          </w:p>
        </w:tc>
        <w:tc>
          <w:tcPr>
            <w:tcW w:w="2093" w:type="pct"/>
            <w:vMerge/>
          </w:tcPr>
          <w:p w14:paraId="55D9194F" w14:textId="77777777" w:rsidR="000E639D" w:rsidRPr="00687E6D" w:rsidRDefault="000E639D" w:rsidP="000E639D">
            <w:pPr>
              <w:jc w:val="both"/>
              <w:rPr>
                <w:rFonts w:cstheme="minorHAnsi"/>
                <w:sz w:val="18"/>
                <w:lang w:val="en-GB" w:eastAsia="ar-SA"/>
              </w:rPr>
            </w:pPr>
          </w:p>
        </w:tc>
        <w:tc>
          <w:tcPr>
            <w:tcW w:w="745" w:type="pct"/>
            <w:vMerge/>
          </w:tcPr>
          <w:p w14:paraId="04ACD25B" w14:textId="77777777" w:rsidR="000E639D" w:rsidRPr="00687E6D" w:rsidRDefault="000E639D" w:rsidP="000E639D">
            <w:pPr>
              <w:jc w:val="center"/>
              <w:rPr>
                <w:rFonts w:cstheme="minorHAnsi"/>
                <w:sz w:val="18"/>
                <w:lang w:val="en-GB" w:eastAsia="ar-SA"/>
              </w:rPr>
            </w:pPr>
          </w:p>
        </w:tc>
        <w:tc>
          <w:tcPr>
            <w:tcW w:w="1749" w:type="pct"/>
          </w:tcPr>
          <w:p w14:paraId="750E9AB0" w14:textId="32D44535" w:rsidR="000E639D" w:rsidRPr="000E639D" w:rsidRDefault="000E639D" w:rsidP="000E639D">
            <w:pPr>
              <w:rPr>
                <w:rFonts w:cstheme="minorHAnsi"/>
                <w:sz w:val="18"/>
                <w:szCs w:val="18"/>
                <w:lang w:val="en-GB" w:eastAsia="ar-SA"/>
              </w:rPr>
            </w:pPr>
            <w:r w:rsidRPr="000E639D">
              <w:rPr>
                <w:sz w:val="18"/>
                <w:szCs w:val="18"/>
              </w:rPr>
              <w:t>Ketamine, IV</w:t>
            </w:r>
          </w:p>
        </w:tc>
      </w:tr>
    </w:tbl>
    <w:p w14:paraId="60575CC8" w14:textId="5FD79F8E" w:rsidR="00797E3B" w:rsidRDefault="00797E3B" w:rsidP="00797E3B">
      <w:pPr>
        <w:spacing w:after="0" w:line="240" w:lineRule="auto"/>
        <w:jc w:val="both"/>
        <w:rPr>
          <w:rFonts w:cstheme="minorHAnsi"/>
          <w:b/>
          <w:lang w:val="en-GB" w:eastAsia="ar-SA"/>
        </w:rPr>
      </w:pPr>
    </w:p>
    <w:p w14:paraId="6E10E3AC" w14:textId="77777777" w:rsidR="00DF0D09" w:rsidRDefault="00DF0D09" w:rsidP="00797E3B">
      <w:pPr>
        <w:spacing w:after="0" w:line="240" w:lineRule="auto"/>
        <w:jc w:val="both"/>
        <w:rPr>
          <w:rFonts w:cstheme="minorHAnsi"/>
          <w:b/>
          <w:lang w:val="en-GB" w:eastAsia="ar-SA"/>
        </w:rPr>
      </w:pPr>
    </w:p>
    <w:tbl>
      <w:tblPr>
        <w:tblW w:w="5000" w:type="pct"/>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ook w:val="00A0" w:firstRow="1" w:lastRow="0" w:firstColumn="1" w:lastColumn="0" w:noHBand="0" w:noVBand="0"/>
      </w:tblPr>
      <w:tblGrid>
        <w:gridCol w:w="10436"/>
      </w:tblGrid>
      <w:tr w:rsidR="00797E3B" w:rsidRPr="00600007" w14:paraId="1ED0039E" w14:textId="77777777" w:rsidTr="004450CB">
        <w:tc>
          <w:tcPr>
            <w:tcW w:w="5000" w:type="pct"/>
            <w:tcBorders>
              <w:top w:val="double" w:sz="4" w:space="0" w:color="C0C0C0"/>
              <w:left w:val="double" w:sz="4" w:space="0" w:color="C0C0C0"/>
              <w:bottom w:val="double" w:sz="4" w:space="0" w:color="C0C0C0"/>
              <w:right w:val="double" w:sz="4" w:space="0" w:color="C0C0C0"/>
            </w:tcBorders>
          </w:tcPr>
          <w:p w14:paraId="128F4ED5" w14:textId="01114072" w:rsidR="00797E3B" w:rsidRPr="00600007" w:rsidRDefault="00797E3B" w:rsidP="004450CB">
            <w:pPr>
              <w:widowControl w:val="0"/>
              <w:autoSpaceDE w:val="0"/>
              <w:autoSpaceDN w:val="0"/>
              <w:adjustRightInd w:val="0"/>
              <w:spacing w:before="120" w:after="120" w:line="240" w:lineRule="auto"/>
              <w:rPr>
                <w:rFonts w:cs="Calibri"/>
                <w:b/>
                <w:lang w:val="en-GB"/>
              </w:rPr>
            </w:pPr>
            <w:r w:rsidRPr="00797E3B">
              <w:rPr>
                <w:rFonts w:cs="Calibri"/>
                <w:b/>
                <w:spacing w:val="-4"/>
                <w:szCs w:val="20"/>
                <w:lang w:val="en-GB"/>
              </w:rPr>
              <w:t>20.11 RAPID SEQUENCE INDUCTION AND INTUBATION</w:t>
            </w:r>
          </w:p>
        </w:tc>
      </w:tr>
    </w:tbl>
    <w:p w14:paraId="492A049E" w14:textId="77777777" w:rsidR="006D466E" w:rsidRPr="004450CB" w:rsidRDefault="006D466E" w:rsidP="006D466E">
      <w:pPr>
        <w:spacing w:after="0" w:line="240" w:lineRule="auto"/>
        <w:jc w:val="both"/>
        <w:rPr>
          <w:rFonts w:ascii="Calibri" w:eastAsia="Calibri" w:hAnsi="Calibri" w:cs="Calibri"/>
          <w:bCs/>
          <w:szCs w:val="10"/>
          <w:lang w:val="en-ZA"/>
        </w:rPr>
      </w:pPr>
      <w:r w:rsidRPr="00797E3B">
        <w:rPr>
          <w:rFonts w:ascii="Calibri" w:eastAsia="Calibri" w:hAnsi="Calibri" w:cs="Calibri"/>
          <w:bCs/>
          <w:szCs w:val="10"/>
          <w:lang w:val="en-ZA"/>
        </w:rPr>
        <w:t xml:space="preserve">The following STG was added, aligned with the Adult Hospital </w:t>
      </w:r>
      <w:r w:rsidRPr="006D466E">
        <w:rPr>
          <w:rFonts w:ascii="Calibri" w:eastAsia="Calibri" w:hAnsi="Calibri" w:cs="Calibri"/>
          <w:bCs/>
          <w:szCs w:val="10"/>
          <w:lang w:val="en-ZA"/>
        </w:rPr>
        <w:t xml:space="preserve">chapter 12: </w:t>
      </w:r>
      <w:r>
        <w:rPr>
          <w:rFonts w:ascii="Calibri" w:eastAsia="Calibri" w:hAnsi="Calibri" w:cs="Calibri"/>
          <w:bCs/>
          <w:szCs w:val="10"/>
          <w:lang w:val="en-ZA"/>
        </w:rPr>
        <w:t>A</w:t>
      </w:r>
      <w:r w:rsidRPr="006D466E">
        <w:rPr>
          <w:rFonts w:ascii="Calibri" w:eastAsia="Calibri" w:hAnsi="Calibri" w:cs="Calibri"/>
          <w:bCs/>
          <w:szCs w:val="10"/>
          <w:lang w:val="en-ZA"/>
        </w:rPr>
        <w:t>naesthesiology and intensive care</w:t>
      </w:r>
      <w:r>
        <w:rPr>
          <w:rFonts w:ascii="Calibri" w:eastAsia="Calibri" w:hAnsi="Calibri" w:cs="Calibri"/>
          <w:bCs/>
          <w:szCs w:val="10"/>
          <w:lang w:val="en-ZA"/>
        </w:rPr>
        <w:t>.</w:t>
      </w:r>
    </w:p>
    <w:tbl>
      <w:tblPr>
        <w:tblStyle w:val="TableGrid"/>
        <w:tblW w:w="0" w:type="auto"/>
        <w:tblLook w:val="04A0" w:firstRow="1" w:lastRow="0" w:firstColumn="1" w:lastColumn="0" w:noHBand="0" w:noVBand="1"/>
      </w:tblPr>
      <w:tblGrid>
        <w:gridCol w:w="10456"/>
      </w:tblGrid>
      <w:tr w:rsidR="00797E3B" w:rsidRPr="00797E3B" w14:paraId="52D26F76" w14:textId="77777777" w:rsidTr="00797E3B">
        <w:tc>
          <w:tcPr>
            <w:tcW w:w="10456" w:type="dxa"/>
          </w:tcPr>
          <w:p w14:paraId="2DDE654E" w14:textId="77777777" w:rsidR="00797E3B" w:rsidRPr="00797E3B" w:rsidRDefault="00797E3B" w:rsidP="00DF0D09">
            <w:pPr>
              <w:spacing w:line="276" w:lineRule="auto"/>
              <w:jc w:val="both"/>
              <w:rPr>
                <w:rFonts w:cstheme="minorHAnsi"/>
                <w:spacing w:val="-4"/>
                <w:sz w:val="20"/>
                <w:szCs w:val="20"/>
                <w:u w:val="single"/>
              </w:rPr>
            </w:pPr>
            <w:r w:rsidRPr="00797E3B">
              <w:rPr>
                <w:rFonts w:cstheme="minorHAnsi"/>
                <w:spacing w:val="-4"/>
                <w:sz w:val="20"/>
                <w:szCs w:val="20"/>
                <w:u w:val="single"/>
              </w:rPr>
              <w:t xml:space="preserve">Anaesthetic and sedative medication may only be administered by medical practitioners trained and experienced in their use. Sound theoretical and practical training followed by supervised experience in the administration of anaesthetic and sedative medication is essential. Even within the recommended dosage range, anaesthetic agents can cause death when inappropriately used. </w:t>
            </w:r>
          </w:p>
          <w:p w14:paraId="47E13063" w14:textId="77777777" w:rsidR="00797E3B" w:rsidRPr="00797E3B" w:rsidRDefault="00797E3B" w:rsidP="00DF0D09">
            <w:pPr>
              <w:spacing w:line="276" w:lineRule="auto"/>
              <w:jc w:val="both"/>
              <w:rPr>
                <w:rFonts w:cstheme="minorHAnsi"/>
                <w:spacing w:val="-4"/>
                <w:sz w:val="20"/>
                <w:szCs w:val="20"/>
                <w:u w:val="single"/>
              </w:rPr>
            </w:pPr>
          </w:p>
          <w:p w14:paraId="250A11A5" w14:textId="77777777" w:rsidR="00797E3B" w:rsidRPr="00797E3B" w:rsidRDefault="00797E3B" w:rsidP="00DF0D09">
            <w:pPr>
              <w:spacing w:line="276" w:lineRule="auto"/>
              <w:jc w:val="both"/>
              <w:rPr>
                <w:rFonts w:cstheme="minorHAnsi"/>
                <w:spacing w:val="-4"/>
                <w:sz w:val="20"/>
                <w:szCs w:val="20"/>
                <w:u w:val="single"/>
              </w:rPr>
            </w:pPr>
            <w:r w:rsidRPr="00797E3B">
              <w:rPr>
                <w:rFonts w:cstheme="minorHAnsi"/>
                <w:spacing w:val="-4"/>
                <w:sz w:val="20"/>
                <w:szCs w:val="20"/>
                <w:u w:val="single"/>
              </w:rPr>
              <w:t>Medicines and equipment for resuscitation should be functional and immediately available whenever general anaesthesia, regional anaesthesia or sedation is administered.</w:t>
            </w:r>
          </w:p>
          <w:p w14:paraId="0E53ABF4" w14:textId="77777777" w:rsidR="00797E3B" w:rsidRPr="00797E3B" w:rsidRDefault="00797E3B" w:rsidP="00DF0D09">
            <w:pPr>
              <w:spacing w:line="276" w:lineRule="auto"/>
              <w:jc w:val="both"/>
              <w:rPr>
                <w:rFonts w:cstheme="minorHAnsi"/>
                <w:spacing w:val="-4"/>
                <w:sz w:val="20"/>
                <w:szCs w:val="20"/>
                <w:u w:val="single"/>
              </w:rPr>
            </w:pPr>
          </w:p>
          <w:p w14:paraId="3AF86E48" w14:textId="77777777" w:rsidR="00797E3B" w:rsidRPr="00797E3B" w:rsidRDefault="00797E3B" w:rsidP="00DF0D09">
            <w:pPr>
              <w:pStyle w:val="ChapterHeader"/>
              <w:spacing w:line="276" w:lineRule="auto"/>
              <w:jc w:val="both"/>
              <w:rPr>
                <w:rFonts w:asciiTheme="minorHAnsi" w:hAnsiTheme="minorHAnsi" w:cstheme="minorHAnsi"/>
                <w:spacing w:val="-4"/>
                <w:sz w:val="20"/>
                <w:szCs w:val="20"/>
                <w:u w:val="single"/>
              </w:rPr>
            </w:pPr>
            <w:r w:rsidRPr="00797E3B">
              <w:rPr>
                <w:rFonts w:asciiTheme="minorHAnsi" w:hAnsiTheme="minorHAnsi" w:cstheme="minorHAnsi"/>
                <w:spacing w:val="-4"/>
                <w:sz w:val="20"/>
                <w:szCs w:val="20"/>
                <w:u w:val="single"/>
              </w:rPr>
              <w:t>The doses of the medicines given are those recommended for healthy adults. Patients who are acutely or chronically sick, and or elderly, may require substantial reductions in the doses given otherwise life-threatening adverse effects may ensue.</w:t>
            </w:r>
          </w:p>
          <w:p w14:paraId="67AB944C" w14:textId="77777777" w:rsidR="00797E3B" w:rsidRPr="00797E3B" w:rsidRDefault="00797E3B" w:rsidP="00DF0D09">
            <w:pPr>
              <w:pStyle w:val="ChapterHeader"/>
              <w:spacing w:line="276" w:lineRule="auto"/>
              <w:jc w:val="both"/>
              <w:rPr>
                <w:rFonts w:asciiTheme="minorHAnsi" w:hAnsiTheme="minorHAnsi" w:cstheme="minorHAnsi"/>
                <w:spacing w:val="-4"/>
                <w:sz w:val="20"/>
                <w:szCs w:val="20"/>
                <w:u w:val="single"/>
              </w:rPr>
            </w:pPr>
          </w:p>
          <w:p w14:paraId="7CD6ADB2" w14:textId="5977AB69" w:rsidR="00797E3B" w:rsidRPr="00797E3B" w:rsidRDefault="00797E3B" w:rsidP="00DF0D09">
            <w:pPr>
              <w:spacing w:line="276" w:lineRule="auto"/>
              <w:jc w:val="both"/>
              <w:rPr>
                <w:rFonts w:cstheme="minorHAnsi"/>
                <w:spacing w:val="-4"/>
                <w:sz w:val="20"/>
                <w:szCs w:val="20"/>
                <w:u w:val="single"/>
              </w:rPr>
            </w:pPr>
            <w:r w:rsidRPr="00797E3B">
              <w:rPr>
                <w:rFonts w:cstheme="minorHAnsi"/>
                <w:spacing w:val="-4"/>
                <w:sz w:val="20"/>
                <w:szCs w:val="20"/>
                <w:u w:val="single"/>
              </w:rPr>
              <w:t>Patients at risk of aspiration require a rapid sequence intubation. An IV induction agent is given through an IV line with fast running fluids, immediately followed by a rapidly acting muscle relaxant. The rapid onset of action enables the time to intubation to be short enough to avoid mask ventilation, as this can result in gastric insufflation and aspiration of gastric contents.</w:t>
            </w:r>
          </w:p>
        </w:tc>
      </w:tr>
    </w:tbl>
    <w:p w14:paraId="39B45902" w14:textId="58E0CAE8" w:rsidR="00797E3B" w:rsidRDefault="00797E3B" w:rsidP="008A6F6A">
      <w:pPr>
        <w:spacing w:after="0" w:line="240" w:lineRule="auto"/>
        <w:jc w:val="both"/>
        <w:rPr>
          <w:rFonts w:ascii="Calibri" w:eastAsia="Calibri" w:hAnsi="Calibri" w:cs="Calibri"/>
          <w:b/>
          <w:szCs w:val="10"/>
          <w:lang w:val="en-ZA"/>
        </w:rPr>
      </w:pPr>
    </w:p>
    <w:p w14:paraId="42D507B0" w14:textId="77777777" w:rsidR="00C45E49" w:rsidRDefault="00C45E49" w:rsidP="008A6F6A">
      <w:pPr>
        <w:spacing w:after="0" w:line="240" w:lineRule="auto"/>
        <w:jc w:val="both"/>
        <w:rPr>
          <w:rFonts w:ascii="Calibri" w:eastAsia="Calibri" w:hAnsi="Calibri" w:cs="Calibri"/>
          <w:b/>
          <w:szCs w:val="10"/>
          <w:lang w:val="en-ZA"/>
        </w:rPr>
      </w:pPr>
    </w:p>
    <w:tbl>
      <w:tblPr>
        <w:tblW w:w="5000" w:type="pct"/>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ook w:val="00A0" w:firstRow="1" w:lastRow="0" w:firstColumn="1" w:lastColumn="0" w:noHBand="0" w:noVBand="0"/>
      </w:tblPr>
      <w:tblGrid>
        <w:gridCol w:w="10436"/>
      </w:tblGrid>
      <w:tr w:rsidR="00797E3B" w:rsidRPr="00600007" w14:paraId="26E5C29E" w14:textId="77777777" w:rsidTr="004450CB">
        <w:tc>
          <w:tcPr>
            <w:tcW w:w="5000" w:type="pct"/>
            <w:tcBorders>
              <w:top w:val="double" w:sz="4" w:space="0" w:color="C0C0C0"/>
              <w:left w:val="double" w:sz="4" w:space="0" w:color="C0C0C0"/>
              <w:bottom w:val="double" w:sz="4" w:space="0" w:color="C0C0C0"/>
              <w:right w:val="double" w:sz="4" w:space="0" w:color="C0C0C0"/>
            </w:tcBorders>
          </w:tcPr>
          <w:p w14:paraId="503BF2FD" w14:textId="72677572" w:rsidR="00797E3B" w:rsidRPr="00600007" w:rsidRDefault="00797E3B" w:rsidP="004450CB">
            <w:pPr>
              <w:widowControl w:val="0"/>
              <w:autoSpaceDE w:val="0"/>
              <w:autoSpaceDN w:val="0"/>
              <w:adjustRightInd w:val="0"/>
              <w:spacing w:before="120" w:after="120" w:line="240" w:lineRule="auto"/>
              <w:rPr>
                <w:rFonts w:cs="Calibri"/>
                <w:b/>
                <w:lang w:val="en-GB"/>
              </w:rPr>
            </w:pPr>
            <w:r w:rsidRPr="00797E3B">
              <w:rPr>
                <w:rFonts w:cs="Calibri"/>
                <w:b/>
                <w:spacing w:val="-4"/>
                <w:szCs w:val="20"/>
                <w:lang w:val="en-GB"/>
              </w:rPr>
              <w:t>20.11</w:t>
            </w:r>
            <w:r>
              <w:rPr>
                <w:rFonts w:cs="Calibri"/>
                <w:b/>
                <w:spacing w:val="-4"/>
                <w:szCs w:val="20"/>
                <w:lang w:val="en-GB"/>
              </w:rPr>
              <w:t xml:space="preserve">.1 </w:t>
            </w:r>
            <w:r w:rsidRPr="00797E3B">
              <w:rPr>
                <w:rFonts w:cs="Calibri"/>
                <w:b/>
                <w:spacing w:val="-4"/>
                <w:szCs w:val="20"/>
                <w:lang w:val="en-GB"/>
              </w:rPr>
              <w:t xml:space="preserve">INDUCTION </w:t>
            </w:r>
            <w:r>
              <w:rPr>
                <w:rFonts w:cs="Calibri"/>
                <w:b/>
                <w:spacing w:val="-4"/>
                <w:szCs w:val="20"/>
                <w:lang w:val="en-GB"/>
              </w:rPr>
              <w:t>AGENTS</w:t>
            </w:r>
          </w:p>
        </w:tc>
      </w:tr>
    </w:tbl>
    <w:p w14:paraId="439288F9" w14:textId="4C906B58" w:rsidR="00797E3B" w:rsidRPr="00797E3B" w:rsidRDefault="00797E3B" w:rsidP="00797E3B">
      <w:pPr>
        <w:spacing w:after="0" w:line="240" w:lineRule="auto"/>
        <w:jc w:val="both"/>
        <w:rPr>
          <w:rFonts w:ascii="Calibri" w:eastAsia="Calibri" w:hAnsi="Calibri" w:cs="Calibri"/>
          <w:bCs/>
          <w:szCs w:val="10"/>
          <w:lang w:val="en-ZA"/>
        </w:rPr>
      </w:pPr>
      <w:r w:rsidRPr="00797E3B">
        <w:rPr>
          <w:rFonts w:ascii="Calibri" w:eastAsia="Calibri" w:hAnsi="Calibri" w:cs="Calibri"/>
          <w:bCs/>
          <w:szCs w:val="10"/>
          <w:u w:val="single"/>
          <w:lang w:val="en-ZA"/>
        </w:rPr>
        <w:t>Propofol, IV:</w:t>
      </w:r>
      <w:r w:rsidRPr="00797E3B">
        <w:rPr>
          <w:rFonts w:ascii="Calibri" w:eastAsia="Calibri" w:hAnsi="Calibri" w:cs="Calibri"/>
          <w:bCs/>
          <w:szCs w:val="10"/>
          <w:lang w:val="en-ZA"/>
        </w:rPr>
        <w:t xml:space="preserve"> </w:t>
      </w:r>
      <w:r w:rsidRPr="00797E3B">
        <w:rPr>
          <w:rFonts w:ascii="Calibri" w:eastAsia="Calibri" w:hAnsi="Calibri" w:cs="Calibri"/>
          <w:bCs/>
          <w:i/>
          <w:iCs/>
          <w:szCs w:val="10"/>
          <w:lang w:val="en-ZA"/>
        </w:rPr>
        <w:t>added</w:t>
      </w:r>
    </w:p>
    <w:p w14:paraId="679D87E1" w14:textId="3CBB7CA5" w:rsidR="00797E3B" w:rsidRPr="00797E3B" w:rsidRDefault="00797E3B" w:rsidP="00797E3B">
      <w:pPr>
        <w:spacing w:after="0" w:line="240" w:lineRule="auto"/>
        <w:jc w:val="both"/>
        <w:rPr>
          <w:rFonts w:ascii="Calibri" w:eastAsia="Calibri" w:hAnsi="Calibri" w:cs="Calibri"/>
          <w:bCs/>
          <w:szCs w:val="10"/>
          <w:lang w:val="en-ZA"/>
        </w:rPr>
      </w:pPr>
      <w:r w:rsidRPr="00797E3B">
        <w:rPr>
          <w:rFonts w:ascii="Calibri" w:eastAsia="Calibri" w:hAnsi="Calibri" w:cs="Calibri"/>
          <w:bCs/>
          <w:szCs w:val="10"/>
          <w:u w:val="single"/>
          <w:lang w:val="en-ZA"/>
        </w:rPr>
        <w:t>Etomidate, IV</w:t>
      </w:r>
      <w:r w:rsidRPr="00797E3B">
        <w:rPr>
          <w:rFonts w:ascii="Calibri" w:eastAsia="Calibri" w:hAnsi="Calibri" w:cs="Calibri"/>
          <w:bCs/>
          <w:szCs w:val="10"/>
          <w:lang w:val="en-ZA"/>
        </w:rPr>
        <w:t>:</w:t>
      </w:r>
      <w:r w:rsidRPr="00797E3B">
        <w:rPr>
          <w:rFonts w:ascii="Calibri" w:eastAsia="Calibri" w:hAnsi="Calibri" w:cs="Calibri"/>
          <w:bCs/>
          <w:i/>
          <w:iCs/>
          <w:szCs w:val="10"/>
          <w:lang w:val="en-ZA"/>
        </w:rPr>
        <w:t xml:space="preserve"> added</w:t>
      </w:r>
      <w:r w:rsidRPr="00797E3B">
        <w:rPr>
          <w:rFonts w:ascii="Calibri" w:eastAsia="Calibri" w:hAnsi="Calibri" w:cs="Calibri"/>
          <w:bCs/>
          <w:szCs w:val="10"/>
          <w:lang w:val="en-ZA"/>
        </w:rPr>
        <w:t xml:space="preserve"> </w:t>
      </w:r>
    </w:p>
    <w:p w14:paraId="2172B142" w14:textId="4079E334" w:rsidR="00797E3B" w:rsidRPr="00797E3B" w:rsidRDefault="00797E3B" w:rsidP="00797E3B">
      <w:pPr>
        <w:spacing w:after="0" w:line="240" w:lineRule="auto"/>
        <w:jc w:val="both"/>
        <w:rPr>
          <w:rFonts w:ascii="Calibri" w:eastAsia="Calibri" w:hAnsi="Calibri" w:cs="Calibri"/>
          <w:bCs/>
          <w:szCs w:val="10"/>
          <w:lang w:val="en-ZA"/>
        </w:rPr>
      </w:pPr>
      <w:r w:rsidRPr="00797E3B">
        <w:rPr>
          <w:rFonts w:ascii="Calibri" w:eastAsia="Calibri" w:hAnsi="Calibri" w:cs="Calibri"/>
          <w:bCs/>
          <w:szCs w:val="10"/>
          <w:u w:val="single"/>
          <w:lang w:val="en-ZA"/>
        </w:rPr>
        <w:t>Ketamine, IV</w:t>
      </w:r>
      <w:r w:rsidRPr="00797E3B">
        <w:rPr>
          <w:rFonts w:ascii="Calibri" w:eastAsia="Calibri" w:hAnsi="Calibri" w:cs="Calibri"/>
          <w:bCs/>
          <w:szCs w:val="10"/>
          <w:lang w:val="en-ZA"/>
        </w:rPr>
        <w:t xml:space="preserve">: </w:t>
      </w:r>
      <w:r w:rsidRPr="00797E3B">
        <w:rPr>
          <w:rFonts w:ascii="Calibri" w:eastAsia="Calibri" w:hAnsi="Calibri" w:cs="Calibri"/>
          <w:bCs/>
          <w:i/>
          <w:iCs/>
          <w:szCs w:val="10"/>
          <w:lang w:val="en-ZA"/>
        </w:rPr>
        <w:t>added</w:t>
      </w:r>
    </w:p>
    <w:p w14:paraId="0481D4A2" w14:textId="2019C923" w:rsidR="00E42740" w:rsidRPr="00797E3B" w:rsidRDefault="00797E3B" w:rsidP="00797E3B">
      <w:pPr>
        <w:spacing w:after="0" w:line="240" w:lineRule="auto"/>
        <w:jc w:val="both"/>
        <w:rPr>
          <w:rFonts w:ascii="Calibri" w:eastAsia="Calibri" w:hAnsi="Calibri" w:cs="Calibri"/>
          <w:bCs/>
          <w:szCs w:val="10"/>
          <w:lang w:val="en-ZA"/>
        </w:rPr>
      </w:pPr>
      <w:r w:rsidRPr="00797E3B">
        <w:rPr>
          <w:rFonts w:ascii="Calibri" w:eastAsia="Calibri" w:hAnsi="Calibri" w:cs="Calibri"/>
          <w:bCs/>
          <w:szCs w:val="10"/>
          <w:u w:val="single"/>
          <w:lang w:val="en-ZA"/>
        </w:rPr>
        <w:t>Thiopental, IV</w:t>
      </w:r>
      <w:r w:rsidRPr="00797E3B">
        <w:rPr>
          <w:rFonts w:ascii="Calibri" w:eastAsia="Calibri" w:hAnsi="Calibri" w:cs="Calibri"/>
          <w:bCs/>
          <w:szCs w:val="10"/>
          <w:lang w:val="en-ZA"/>
        </w:rPr>
        <w:t xml:space="preserve">: </w:t>
      </w:r>
      <w:r w:rsidR="00DF0470">
        <w:rPr>
          <w:rFonts w:ascii="Calibri" w:eastAsia="Calibri" w:hAnsi="Calibri" w:cs="Calibri"/>
          <w:bCs/>
          <w:i/>
          <w:iCs/>
          <w:szCs w:val="10"/>
          <w:lang w:val="en-ZA"/>
        </w:rPr>
        <w:t>not added</w:t>
      </w:r>
    </w:p>
    <w:p w14:paraId="58FDD0D9" w14:textId="77777777" w:rsidR="00E42740" w:rsidRDefault="00E42740" w:rsidP="008A6F6A">
      <w:pPr>
        <w:spacing w:after="0" w:line="240" w:lineRule="auto"/>
        <w:jc w:val="both"/>
        <w:rPr>
          <w:rFonts w:ascii="Calibri" w:eastAsia="Calibri" w:hAnsi="Calibri" w:cs="Calibri"/>
          <w:b/>
          <w:szCs w:val="10"/>
          <w:lang w:val="en-GB" w:eastAsia="ar-SA"/>
        </w:rPr>
      </w:pPr>
    </w:p>
    <w:p w14:paraId="18414939" w14:textId="1206D13F" w:rsidR="006D466E" w:rsidRPr="004450CB" w:rsidRDefault="006D466E" w:rsidP="006D466E">
      <w:pPr>
        <w:spacing w:after="0" w:line="240" w:lineRule="auto"/>
        <w:jc w:val="both"/>
        <w:rPr>
          <w:rFonts w:ascii="Calibri" w:eastAsia="Calibri" w:hAnsi="Calibri" w:cs="Calibri"/>
          <w:bCs/>
          <w:szCs w:val="10"/>
          <w:lang w:val="en-ZA"/>
        </w:rPr>
      </w:pPr>
      <w:r w:rsidRPr="00797E3B">
        <w:rPr>
          <w:rFonts w:ascii="Calibri" w:eastAsia="Calibri" w:hAnsi="Calibri" w:cs="Calibri"/>
          <w:bCs/>
          <w:szCs w:val="10"/>
          <w:lang w:val="en-ZA"/>
        </w:rPr>
        <w:t xml:space="preserve">The following STG was added, aligned with the Adult Hospital </w:t>
      </w:r>
      <w:r w:rsidRPr="006D466E">
        <w:rPr>
          <w:rFonts w:ascii="Calibri" w:eastAsia="Calibri" w:hAnsi="Calibri" w:cs="Calibri"/>
          <w:bCs/>
          <w:szCs w:val="10"/>
          <w:lang w:val="en-ZA"/>
        </w:rPr>
        <w:t xml:space="preserve">chapter 12: </w:t>
      </w:r>
      <w:r>
        <w:rPr>
          <w:rFonts w:ascii="Calibri" w:eastAsia="Calibri" w:hAnsi="Calibri" w:cs="Calibri"/>
          <w:bCs/>
          <w:szCs w:val="10"/>
          <w:lang w:val="en-ZA"/>
        </w:rPr>
        <w:t>A</w:t>
      </w:r>
      <w:r w:rsidRPr="006D466E">
        <w:rPr>
          <w:rFonts w:ascii="Calibri" w:eastAsia="Calibri" w:hAnsi="Calibri" w:cs="Calibri"/>
          <w:bCs/>
          <w:szCs w:val="10"/>
          <w:lang w:val="en-ZA"/>
        </w:rPr>
        <w:t>naesthesiology and intensive care</w:t>
      </w:r>
      <w:r w:rsidR="00DF0D09">
        <w:rPr>
          <w:rFonts w:ascii="Calibri" w:eastAsia="Calibri" w:hAnsi="Calibri" w:cs="Calibri"/>
          <w:bCs/>
          <w:szCs w:val="10"/>
          <w:lang w:val="en-ZA"/>
        </w:rPr>
        <w:t xml:space="preserve">; section: </w:t>
      </w:r>
      <w:r w:rsidR="00DF0D09">
        <w:t>12.2.1 Intravenous induction (and/or maintenance) agents</w:t>
      </w:r>
      <w:r w:rsidR="005D621C">
        <w:t>, noting that thiopental has been discontinued</w:t>
      </w:r>
      <w:r w:rsidR="00DF0D09">
        <w:t>:</w:t>
      </w:r>
    </w:p>
    <w:tbl>
      <w:tblPr>
        <w:tblStyle w:val="TableGrid"/>
        <w:tblW w:w="0" w:type="auto"/>
        <w:tblLook w:val="04A0" w:firstRow="1" w:lastRow="0" w:firstColumn="1" w:lastColumn="0" w:noHBand="0" w:noVBand="1"/>
      </w:tblPr>
      <w:tblGrid>
        <w:gridCol w:w="10456"/>
      </w:tblGrid>
      <w:tr w:rsidR="00797E3B" w:rsidRPr="00797E3B" w14:paraId="36F8E95C" w14:textId="77777777" w:rsidTr="00797E3B">
        <w:tc>
          <w:tcPr>
            <w:tcW w:w="10456" w:type="dxa"/>
          </w:tcPr>
          <w:p w14:paraId="617269CF" w14:textId="77777777" w:rsidR="00797E3B" w:rsidRPr="00797E3B" w:rsidRDefault="00797E3B" w:rsidP="00DF0D09">
            <w:pPr>
              <w:spacing w:line="276" w:lineRule="auto"/>
              <w:jc w:val="both"/>
              <w:rPr>
                <w:rFonts w:cstheme="minorHAnsi"/>
                <w:sz w:val="20"/>
                <w:szCs w:val="20"/>
                <w:u w:val="single"/>
              </w:rPr>
            </w:pPr>
            <w:r w:rsidRPr="00797E3B">
              <w:rPr>
                <w:rFonts w:cstheme="minorHAnsi"/>
                <w:sz w:val="20"/>
                <w:szCs w:val="20"/>
                <w:u w:val="single"/>
              </w:rPr>
              <w:t>Respiratory depression occurs following induction of anaesthesia and ventilation should be supported as required.</w:t>
            </w:r>
          </w:p>
          <w:p w14:paraId="7D521318" w14:textId="77777777" w:rsidR="00797E3B" w:rsidRPr="00797E3B" w:rsidRDefault="00797E3B" w:rsidP="00DF0D09">
            <w:pPr>
              <w:spacing w:line="276" w:lineRule="auto"/>
              <w:jc w:val="both"/>
              <w:rPr>
                <w:rFonts w:cstheme="minorHAnsi"/>
                <w:sz w:val="20"/>
                <w:szCs w:val="20"/>
                <w:u w:val="single"/>
              </w:rPr>
            </w:pPr>
            <w:r w:rsidRPr="00797E3B">
              <w:rPr>
                <w:rFonts w:cstheme="minorHAnsi"/>
                <w:sz w:val="20"/>
                <w:szCs w:val="20"/>
                <w:u w:val="single"/>
              </w:rPr>
              <w:t>Administer at appropriate doses, after consideration of patient factors and contraindications:</w:t>
            </w:r>
          </w:p>
          <w:p w14:paraId="50B38B4F" w14:textId="77777777" w:rsidR="00797E3B" w:rsidRPr="00797E3B" w:rsidRDefault="00797E3B" w:rsidP="00DF0D09">
            <w:pPr>
              <w:pStyle w:val="ListParagraph"/>
              <w:numPr>
                <w:ilvl w:val="0"/>
                <w:numId w:val="44"/>
              </w:numPr>
              <w:spacing w:line="276" w:lineRule="auto"/>
              <w:ind w:left="284" w:hanging="284"/>
              <w:jc w:val="both"/>
              <w:rPr>
                <w:rFonts w:cstheme="minorHAnsi"/>
                <w:spacing w:val="-2"/>
                <w:sz w:val="20"/>
                <w:szCs w:val="20"/>
                <w:u w:val="single"/>
              </w:rPr>
            </w:pPr>
            <w:r w:rsidRPr="00797E3B">
              <w:rPr>
                <w:rFonts w:cstheme="minorHAnsi"/>
                <w:spacing w:val="-2"/>
                <w:sz w:val="20"/>
                <w:szCs w:val="20"/>
                <w:u w:val="single"/>
              </w:rPr>
              <w:t xml:space="preserve">Propofol is the most widely used IV induction agent but can produce hypotension. </w:t>
            </w:r>
          </w:p>
          <w:p w14:paraId="12F43ED4" w14:textId="77777777" w:rsidR="00797E3B" w:rsidRPr="00797E3B" w:rsidRDefault="00797E3B" w:rsidP="00DF0D09">
            <w:pPr>
              <w:pStyle w:val="ListParagraph"/>
              <w:numPr>
                <w:ilvl w:val="0"/>
                <w:numId w:val="44"/>
              </w:numPr>
              <w:spacing w:line="276" w:lineRule="auto"/>
              <w:ind w:left="284" w:hanging="284"/>
              <w:jc w:val="both"/>
              <w:rPr>
                <w:rFonts w:cstheme="minorHAnsi"/>
                <w:spacing w:val="-2"/>
                <w:sz w:val="20"/>
                <w:szCs w:val="20"/>
                <w:u w:val="single"/>
              </w:rPr>
            </w:pPr>
            <w:r w:rsidRPr="00797E3B">
              <w:rPr>
                <w:rFonts w:cstheme="minorHAnsi"/>
                <w:spacing w:val="-2"/>
                <w:sz w:val="20"/>
                <w:szCs w:val="20"/>
                <w:u w:val="single"/>
              </w:rPr>
              <w:lastRenderedPageBreak/>
              <w:t xml:space="preserve">Etomidate or ketamine is preferred in haemodynamically unstable patients. </w:t>
            </w:r>
          </w:p>
          <w:p w14:paraId="3F1AF86C" w14:textId="77777777" w:rsidR="00797E3B" w:rsidRPr="00797E3B" w:rsidRDefault="00797E3B" w:rsidP="00DF0D09">
            <w:pPr>
              <w:pStyle w:val="ListParagraph"/>
              <w:numPr>
                <w:ilvl w:val="0"/>
                <w:numId w:val="44"/>
              </w:numPr>
              <w:spacing w:line="276" w:lineRule="auto"/>
              <w:ind w:left="284" w:hanging="284"/>
              <w:jc w:val="both"/>
              <w:rPr>
                <w:rFonts w:cstheme="minorHAnsi"/>
                <w:sz w:val="20"/>
                <w:szCs w:val="20"/>
                <w:u w:val="single"/>
              </w:rPr>
            </w:pPr>
            <w:r w:rsidRPr="00797E3B">
              <w:rPr>
                <w:rFonts w:cstheme="minorHAnsi"/>
                <w:sz w:val="20"/>
                <w:szCs w:val="20"/>
                <w:u w:val="single"/>
              </w:rPr>
              <w:t>Thiopental has a rapid onset but is contraindicated in porphyria.</w:t>
            </w:r>
          </w:p>
          <w:p w14:paraId="473B43A3" w14:textId="77777777" w:rsidR="00797E3B" w:rsidRPr="00797E3B" w:rsidRDefault="00797E3B" w:rsidP="00DF0D09">
            <w:pPr>
              <w:tabs>
                <w:tab w:val="left" w:pos="284"/>
              </w:tabs>
              <w:spacing w:line="276" w:lineRule="auto"/>
              <w:jc w:val="both"/>
              <w:rPr>
                <w:rFonts w:cstheme="minorHAnsi"/>
                <w:sz w:val="20"/>
                <w:szCs w:val="20"/>
                <w:u w:val="single"/>
              </w:rPr>
            </w:pPr>
          </w:p>
          <w:p w14:paraId="479EA0AD" w14:textId="77777777" w:rsidR="00797E3B" w:rsidRPr="00797E3B" w:rsidRDefault="00797E3B" w:rsidP="00DF0D09">
            <w:pPr>
              <w:pStyle w:val="ListParagraph"/>
              <w:numPr>
                <w:ilvl w:val="0"/>
                <w:numId w:val="43"/>
              </w:numPr>
              <w:spacing w:line="276" w:lineRule="auto"/>
              <w:ind w:left="284" w:hanging="284"/>
              <w:rPr>
                <w:rFonts w:cstheme="minorHAnsi"/>
                <w:sz w:val="20"/>
                <w:szCs w:val="20"/>
                <w:u w:val="single"/>
              </w:rPr>
            </w:pPr>
            <w:r w:rsidRPr="00797E3B">
              <w:rPr>
                <w:rFonts w:cstheme="minorHAnsi"/>
                <w:sz w:val="20"/>
                <w:szCs w:val="20"/>
                <w:u w:val="single"/>
              </w:rPr>
              <w:t>Propofol, IV, 1.5–2.5 mg/kg.</w:t>
            </w:r>
          </w:p>
          <w:p w14:paraId="2B86EC3C" w14:textId="77777777" w:rsidR="00797E3B" w:rsidRPr="00797E3B" w:rsidRDefault="00797E3B" w:rsidP="00DF0D09">
            <w:pPr>
              <w:pStyle w:val="ListParagraph"/>
              <w:numPr>
                <w:ilvl w:val="0"/>
                <w:numId w:val="43"/>
              </w:numPr>
              <w:spacing w:line="276" w:lineRule="auto"/>
              <w:ind w:left="284" w:hanging="284"/>
              <w:rPr>
                <w:rFonts w:cstheme="minorHAnsi"/>
                <w:sz w:val="20"/>
                <w:szCs w:val="20"/>
                <w:u w:val="single"/>
              </w:rPr>
            </w:pPr>
            <w:r w:rsidRPr="00797E3B">
              <w:rPr>
                <w:rFonts w:cstheme="minorHAnsi"/>
                <w:sz w:val="20"/>
                <w:szCs w:val="20"/>
                <w:u w:val="single"/>
              </w:rPr>
              <w:t xml:space="preserve">Etomidate, IV, 0.3 mg/kg (0.2–0.6 mg/kg) </w:t>
            </w:r>
          </w:p>
          <w:p w14:paraId="29016E80" w14:textId="527BBE31" w:rsidR="00797E3B" w:rsidRPr="005D621C" w:rsidRDefault="00797E3B" w:rsidP="005D621C">
            <w:pPr>
              <w:pStyle w:val="ListParagraph"/>
              <w:numPr>
                <w:ilvl w:val="0"/>
                <w:numId w:val="43"/>
              </w:numPr>
              <w:spacing w:line="276" w:lineRule="auto"/>
              <w:ind w:left="284" w:hanging="284"/>
              <w:rPr>
                <w:rFonts w:cstheme="minorHAnsi"/>
                <w:sz w:val="20"/>
                <w:szCs w:val="20"/>
                <w:u w:val="single"/>
              </w:rPr>
            </w:pPr>
            <w:r w:rsidRPr="00797E3B">
              <w:rPr>
                <w:rFonts w:cstheme="minorHAnsi"/>
                <w:sz w:val="20"/>
                <w:szCs w:val="20"/>
                <w:u w:val="single"/>
              </w:rPr>
              <w:t xml:space="preserve">Ketamine, IV, 1–2 mg/kg. </w:t>
            </w:r>
          </w:p>
        </w:tc>
      </w:tr>
    </w:tbl>
    <w:p w14:paraId="2F62E8F1" w14:textId="77777777" w:rsidR="00797E3B" w:rsidRDefault="00797E3B" w:rsidP="008A6F6A">
      <w:pPr>
        <w:spacing w:after="0" w:line="240" w:lineRule="auto"/>
        <w:jc w:val="both"/>
        <w:rPr>
          <w:rFonts w:ascii="Calibri" w:eastAsia="Calibri" w:hAnsi="Calibri" w:cs="Calibri"/>
          <w:b/>
          <w:szCs w:val="10"/>
          <w:lang w:val="en-GB" w:eastAsia="ar-SA"/>
        </w:rPr>
      </w:pPr>
    </w:p>
    <w:p w14:paraId="1749C051" w14:textId="77777777" w:rsidR="00797E3B" w:rsidRDefault="00797E3B" w:rsidP="008A6F6A">
      <w:pPr>
        <w:spacing w:after="0" w:line="240" w:lineRule="auto"/>
        <w:jc w:val="both"/>
        <w:rPr>
          <w:rFonts w:ascii="Calibri" w:eastAsia="Calibri" w:hAnsi="Calibri" w:cs="Calibri"/>
          <w:b/>
          <w:szCs w:val="10"/>
          <w:lang w:val="en-GB" w:eastAsia="ar-SA"/>
        </w:rPr>
      </w:pPr>
    </w:p>
    <w:tbl>
      <w:tblPr>
        <w:tblW w:w="5000" w:type="pct"/>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ook w:val="00A0" w:firstRow="1" w:lastRow="0" w:firstColumn="1" w:lastColumn="0" w:noHBand="0" w:noVBand="0"/>
      </w:tblPr>
      <w:tblGrid>
        <w:gridCol w:w="10436"/>
      </w:tblGrid>
      <w:tr w:rsidR="00797E3B" w:rsidRPr="00600007" w14:paraId="16CC11BF" w14:textId="77777777" w:rsidTr="004450CB">
        <w:tc>
          <w:tcPr>
            <w:tcW w:w="5000" w:type="pct"/>
            <w:tcBorders>
              <w:top w:val="double" w:sz="4" w:space="0" w:color="C0C0C0"/>
              <w:left w:val="double" w:sz="4" w:space="0" w:color="C0C0C0"/>
              <w:bottom w:val="double" w:sz="4" w:space="0" w:color="C0C0C0"/>
              <w:right w:val="double" w:sz="4" w:space="0" w:color="C0C0C0"/>
            </w:tcBorders>
          </w:tcPr>
          <w:p w14:paraId="012580D5" w14:textId="396E7F50" w:rsidR="00797E3B" w:rsidRPr="00600007" w:rsidRDefault="00797E3B" w:rsidP="004450CB">
            <w:pPr>
              <w:widowControl w:val="0"/>
              <w:autoSpaceDE w:val="0"/>
              <w:autoSpaceDN w:val="0"/>
              <w:adjustRightInd w:val="0"/>
              <w:spacing w:before="120" w:after="120" w:line="240" w:lineRule="auto"/>
              <w:rPr>
                <w:rFonts w:cs="Calibri"/>
                <w:b/>
                <w:lang w:val="en-GB"/>
              </w:rPr>
            </w:pPr>
            <w:r w:rsidRPr="00797E3B">
              <w:rPr>
                <w:rFonts w:cs="Calibri"/>
                <w:b/>
                <w:spacing w:val="-4"/>
                <w:szCs w:val="20"/>
                <w:lang w:val="en-GB"/>
              </w:rPr>
              <w:t>20.11</w:t>
            </w:r>
            <w:r>
              <w:rPr>
                <w:rFonts w:cs="Calibri"/>
                <w:b/>
                <w:spacing w:val="-4"/>
                <w:szCs w:val="20"/>
                <w:lang w:val="en-GB"/>
              </w:rPr>
              <w:t xml:space="preserve">.2 </w:t>
            </w:r>
            <w:r w:rsidRPr="00D76898">
              <w:rPr>
                <w:rFonts w:ascii="Calibri" w:eastAsia="Calibri" w:hAnsi="Calibri" w:cs="Calibri"/>
                <w:b/>
                <w:szCs w:val="10"/>
                <w:lang w:val="en-GB" w:eastAsia="ar-SA"/>
              </w:rPr>
              <w:t>MUSCLE RELAXANTS</w:t>
            </w:r>
          </w:p>
        </w:tc>
      </w:tr>
    </w:tbl>
    <w:p w14:paraId="06D2F2B4" w14:textId="65AB1CEE" w:rsidR="00E42740" w:rsidRPr="00DF0D09" w:rsidRDefault="006D466E" w:rsidP="008A6F6A">
      <w:pPr>
        <w:spacing w:after="0" w:line="240" w:lineRule="auto"/>
        <w:jc w:val="both"/>
        <w:rPr>
          <w:rFonts w:ascii="Calibri" w:eastAsia="Calibri" w:hAnsi="Calibri" w:cs="Calibri"/>
          <w:bCs/>
          <w:szCs w:val="10"/>
          <w:lang w:val="en-GB" w:eastAsia="ar-SA"/>
        </w:rPr>
      </w:pPr>
      <w:r w:rsidRPr="00DF0D09">
        <w:rPr>
          <w:rFonts w:ascii="Calibri" w:eastAsia="Calibri" w:hAnsi="Calibri" w:cs="Calibri"/>
          <w:bCs/>
          <w:szCs w:val="10"/>
          <w:u w:val="single"/>
          <w:lang w:val="en-GB" w:eastAsia="ar-SA"/>
        </w:rPr>
        <w:t>Suxamethonium, IV</w:t>
      </w:r>
      <w:r w:rsidRPr="00DF0D09">
        <w:rPr>
          <w:rFonts w:ascii="Calibri" w:eastAsia="Calibri" w:hAnsi="Calibri" w:cs="Calibri"/>
          <w:bCs/>
          <w:szCs w:val="10"/>
          <w:lang w:val="en-GB" w:eastAsia="ar-SA"/>
        </w:rPr>
        <w:t xml:space="preserve">: </w:t>
      </w:r>
      <w:r w:rsidRPr="00DF0D09">
        <w:rPr>
          <w:rFonts w:ascii="Calibri" w:eastAsia="Calibri" w:hAnsi="Calibri" w:cs="Calibri"/>
          <w:bCs/>
          <w:i/>
          <w:iCs/>
          <w:szCs w:val="10"/>
          <w:lang w:val="en-GB" w:eastAsia="ar-SA"/>
        </w:rPr>
        <w:t>added</w:t>
      </w:r>
    </w:p>
    <w:p w14:paraId="7081BE89" w14:textId="034899EF" w:rsidR="006D466E" w:rsidRPr="00DF0D09" w:rsidRDefault="006D466E" w:rsidP="008A6F6A">
      <w:pPr>
        <w:spacing w:after="0" w:line="240" w:lineRule="auto"/>
        <w:jc w:val="both"/>
        <w:rPr>
          <w:rFonts w:ascii="Calibri" w:eastAsia="Calibri" w:hAnsi="Calibri" w:cs="Calibri"/>
          <w:bCs/>
          <w:szCs w:val="10"/>
          <w:lang w:val="en-GB" w:eastAsia="ar-SA"/>
        </w:rPr>
      </w:pPr>
      <w:r w:rsidRPr="00DF0D09">
        <w:rPr>
          <w:rFonts w:ascii="Calibri" w:eastAsia="Calibri" w:hAnsi="Calibri" w:cs="Calibri"/>
          <w:bCs/>
          <w:szCs w:val="10"/>
          <w:u w:val="single"/>
          <w:lang w:val="en-GB" w:eastAsia="ar-SA"/>
        </w:rPr>
        <w:t>Rocuronium, IV</w:t>
      </w:r>
      <w:r w:rsidRPr="00DF0D09">
        <w:rPr>
          <w:rFonts w:ascii="Calibri" w:eastAsia="Calibri" w:hAnsi="Calibri" w:cs="Calibri"/>
          <w:bCs/>
          <w:szCs w:val="10"/>
          <w:lang w:val="en-GB" w:eastAsia="ar-SA"/>
        </w:rPr>
        <w:t xml:space="preserve">: </w:t>
      </w:r>
      <w:r w:rsidRPr="00DF0D09">
        <w:rPr>
          <w:rFonts w:ascii="Calibri" w:eastAsia="Calibri" w:hAnsi="Calibri" w:cs="Calibri"/>
          <w:bCs/>
          <w:i/>
          <w:iCs/>
          <w:szCs w:val="10"/>
          <w:lang w:val="en-GB" w:eastAsia="ar-SA"/>
        </w:rPr>
        <w:t>added</w:t>
      </w:r>
    </w:p>
    <w:p w14:paraId="72627A9A" w14:textId="77777777" w:rsidR="006D466E" w:rsidRDefault="006D466E" w:rsidP="008A6F6A">
      <w:pPr>
        <w:spacing w:after="0" w:line="240" w:lineRule="auto"/>
        <w:jc w:val="both"/>
        <w:rPr>
          <w:rFonts w:ascii="Calibri" w:eastAsia="Calibri" w:hAnsi="Calibri" w:cs="Calibri"/>
          <w:b/>
          <w:szCs w:val="10"/>
          <w:lang w:val="en-GB" w:eastAsia="ar-SA"/>
        </w:rPr>
      </w:pPr>
    </w:p>
    <w:p w14:paraId="660F7E22" w14:textId="043FD757" w:rsidR="006D466E" w:rsidRPr="00DF0D09" w:rsidRDefault="006D466E" w:rsidP="008A6F6A">
      <w:pPr>
        <w:spacing w:after="0" w:line="240" w:lineRule="auto"/>
        <w:jc w:val="both"/>
        <w:rPr>
          <w:rFonts w:ascii="Calibri" w:eastAsia="Calibri" w:hAnsi="Calibri" w:cs="Calibri"/>
          <w:bCs/>
          <w:szCs w:val="10"/>
          <w:lang w:val="en-ZA"/>
        </w:rPr>
      </w:pPr>
      <w:r w:rsidRPr="00797E3B">
        <w:rPr>
          <w:rFonts w:ascii="Calibri" w:eastAsia="Calibri" w:hAnsi="Calibri" w:cs="Calibri"/>
          <w:bCs/>
          <w:szCs w:val="10"/>
          <w:lang w:val="en-ZA"/>
        </w:rPr>
        <w:t xml:space="preserve">The following STG was added, aligned with the Adult Hospital </w:t>
      </w:r>
      <w:r w:rsidRPr="006D466E">
        <w:rPr>
          <w:rFonts w:ascii="Calibri" w:eastAsia="Calibri" w:hAnsi="Calibri" w:cs="Calibri"/>
          <w:bCs/>
          <w:szCs w:val="10"/>
          <w:lang w:val="en-ZA"/>
        </w:rPr>
        <w:t xml:space="preserve">chapter 12: </w:t>
      </w:r>
      <w:r>
        <w:rPr>
          <w:rFonts w:ascii="Calibri" w:eastAsia="Calibri" w:hAnsi="Calibri" w:cs="Calibri"/>
          <w:bCs/>
          <w:szCs w:val="10"/>
          <w:lang w:val="en-ZA"/>
        </w:rPr>
        <w:t>A</w:t>
      </w:r>
      <w:r w:rsidRPr="006D466E">
        <w:rPr>
          <w:rFonts w:ascii="Calibri" w:eastAsia="Calibri" w:hAnsi="Calibri" w:cs="Calibri"/>
          <w:bCs/>
          <w:szCs w:val="10"/>
          <w:lang w:val="en-ZA"/>
        </w:rPr>
        <w:t>naesthesiology and intensive care</w:t>
      </w:r>
      <w:r w:rsidR="00DF0D09">
        <w:rPr>
          <w:rFonts w:ascii="Calibri" w:eastAsia="Calibri" w:hAnsi="Calibri" w:cs="Calibri"/>
          <w:bCs/>
          <w:szCs w:val="10"/>
          <w:lang w:val="en-ZA"/>
        </w:rPr>
        <w:t>, section</w:t>
      </w:r>
      <w:r w:rsidR="00DF0D09" w:rsidRPr="00DF0D09">
        <w:t xml:space="preserve"> </w:t>
      </w:r>
      <w:r w:rsidR="00DF0D09">
        <w:t>12.3.1 Depolarising muscle relaxants:</w:t>
      </w:r>
    </w:p>
    <w:tbl>
      <w:tblPr>
        <w:tblStyle w:val="TableGrid"/>
        <w:tblW w:w="0" w:type="auto"/>
        <w:tblLook w:val="04A0" w:firstRow="1" w:lastRow="0" w:firstColumn="1" w:lastColumn="0" w:noHBand="0" w:noVBand="1"/>
      </w:tblPr>
      <w:tblGrid>
        <w:gridCol w:w="10456"/>
      </w:tblGrid>
      <w:tr w:rsidR="006D466E" w:rsidRPr="00DF0D09" w14:paraId="653C99D7" w14:textId="77777777" w:rsidTr="006D466E">
        <w:tc>
          <w:tcPr>
            <w:tcW w:w="10456" w:type="dxa"/>
          </w:tcPr>
          <w:p w14:paraId="27F40E2B" w14:textId="77777777" w:rsidR="006D466E" w:rsidRPr="00DF0D09" w:rsidRDefault="006D466E" w:rsidP="00DF0D09">
            <w:pPr>
              <w:pStyle w:val="ListParagraph"/>
              <w:numPr>
                <w:ilvl w:val="0"/>
                <w:numId w:val="43"/>
              </w:numPr>
              <w:spacing w:line="276" w:lineRule="auto"/>
              <w:ind w:left="284" w:hanging="284"/>
              <w:rPr>
                <w:rFonts w:cstheme="minorHAnsi"/>
                <w:sz w:val="20"/>
                <w:szCs w:val="20"/>
                <w:u w:val="single"/>
              </w:rPr>
            </w:pPr>
            <w:r w:rsidRPr="00DF0D09">
              <w:rPr>
                <w:rFonts w:cstheme="minorHAnsi"/>
                <w:sz w:val="20"/>
                <w:szCs w:val="20"/>
                <w:u w:val="single"/>
              </w:rPr>
              <w:t>Suxamethonium, 1–1.5 mg/kg, IV. (See section 12.3.1: Depolarising muscle relaxants).</w:t>
            </w:r>
          </w:p>
          <w:p w14:paraId="58D04FB3" w14:textId="77777777" w:rsidR="006D466E" w:rsidRPr="00DF0D09" w:rsidRDefault="006D466E" w:rsidP="00DF0D09">
            <w:pPr>
              <w:pStyle w:val="ListParagraph"/>
              <w:numPr>
                <w:ilvl w:val="1"/>
                <w:numId w:val="43"/>
              </w:numPr>
              <w:spacing w:line="276" w:lineRule="auto"/>
              <w:ind w:left="567" w:hanging="283"/>
              <w:rPr>
                <w:rFonts w:cstheme="minorHAnsi"/>
                <w:sz w:val="20"/>
                <w:szCs w:val="20"/>
                <w:u w:val="single"/>
              </w:rPr>
            </w:pPr>
            <w:r w:rsidRPr="00DF0D09">
              <w:rPr>
                <w:rFonts w:cstheme="minorHAnsi"/>
                <w:sz w:val="20"/>
                <w:szCs w:val="20"/>
                <w:u w:val="single"/>
              </w:rPr>
              <w:t>Preferred agent as, in the event of a failed intubation, it wears off quickly enabling spontaneous respiration to resume.</w:t>
            </w:r>
          </w:p>
          <w:p w14:paraId="4A8E7C30" w14:textId="77777777" w:rsidR="006D466E" w:rsidRPr="00DF0D09" w:rsidRDefault="006D466E" w:rsidP="00DF0D09">
            <w:pPr>
              <w:pStyle w:val="ListParagraph"/>
              <w:numPr>
                <w:ilvl w:val="1"/>
                <w:numId w:val="43"/>
              </w:numPr>
              <w:spacing w:line="276" w:lineRule="auto"/>
              <w:ind w:left="567" w:hanging="283"/>
              <w:rPr>
                <w:rFonts w:cstheme="minorHAnsi"/>
                <w:sz w:val="20"/>
                <w:szCs w:val="20"/>
                <w:u w:val="single"/>
              </w:rPr>
            </w:pPr>
            <w:r w:rsidRPr="00DF0D09">
              <w:rPr>
                <w:rFonts w:cstheme="minorHAnsi"/>
                <w:sz w:val="20"/>
                <w:szCs w:val="20"/>
                <w:u w:val="single"/>
              </w:rPr>
              <w:t>Contraindications to suxamethonium</w:t>
            </w:r>
          </w:p>
          <w:p w14:paraId="4B60E66C" w14:textId="1A30795C" w:rsidR="006D466E" w:rsidRPr="00DF0D09" w:rsidRDefault="006D466E" w:rsidP="00DF0D09">
            <w:pPr>
              <w:pStyle w:val="ListParagraph"/>
              <w:numPr>
                <w:ilvl w:val="1"/>
                <w:numId w:val="45"/>
              </w:numPr>
              <w:spacing w:line="276" w:lineRule="auto"/>
              <w:ind w:left="851" w:hanging="284"/>
              <w:jc w:val="both"/>
              <w:rPr>
                <w:rFonts w:cstheme="minorHAnsi"/>
                <w:sz w:val="20"/>
                <w:szCs w:val="20"/>
                <w:u w:val="single"/>
              </w:rPr>
            </w:pPr>
            <w:r w:rsidRPr="00DF0D09">
              <w:rPr>
                <w:rFonts w:cstheme="minorHAnsi"/>
                <w:sz w:val="20"/>
                <w:szCs w:val="20"/>
                <w:u w:val="single"/>
              </w:rPr>
              <w:t>Congenital and acquired medical conditions associated with severe, potentially lethal suxamethonium-induced hyperkalaemia.</w:t>
            </w:r>
          </w:p>
          <w:p w14:paraId="5F748829" w14:textId="77777777" w:rsidR="006D466E" w:rsidRPr="00DF0D09" w:rsidRDefault="006D466E" w:rsidP="00DF0D09">
            <w:pPr>
              <w:pStyle w:val="ListParagraph"/>
              <w:numPr>
                <w:ilvl w:val="1"/>
                <w:numId w:val="45"/>
              </w:numPr>
              <w:spacing w:line="276" w:lineRule="auto"/>
              <w:ind w:left="851" w:hanging="284"/>
              <w:jc w:val="both"/>
              <w:rPr>
                <w:rFonts w:cstheme="minorHAnsi"/>
                <w:sz w:val="20"/>
                <w:szCs w:val="20"/>
                <w:u w:val="single"/>
              </w:rPr>
            </w:pPr>
            <w:r w:rsidRPr="00DF0D09">
              <w:rPr>
                <w:rFonts w:cstheme="minorHAnsi"/>
                <w:sz w:val="20"/>
                <w:szCs w:val="20"/>
                <w:u w:val="single"/>
              </w:rPr>
              <w:t>Malignant hyperthermia.</w:t>
            </w:r>
          </w:p>
          <w:p w14:paraId="14987F50" w14:textId="77777777" w:rsidR="006D466E" w:rsidRPr="00DF0D09" w:rsidRDefault="006D466E" w:rsidP="00DF0D09">
            <w:pPr>
              <w:pStyle w:val="ep0"/>
              <w:spacing w:line="276" w:lineRule="auto"/>
              <w:rPr>
                <w:rFonts w:asciiTheme="minorHAnsi" w:hAnsiTheme="minorHAnsi" w:cstheme="minorHAnsi"/>
                <w:sz w:val="20"/>
                <w:szCs w:val="20"/>
                <w:u w:val="single"/>
              </w:rPr>
            </w:pPr>
          </w:p>
          <w:p w14:paraId="3958E18D" w14:textId="77777777" w:rsidR="006D466E" w:rsidRPr="00DF0D09" w:rsidRDefault="006D466E" w:rsidP="00DF0D09">
            <w:pPr>
              <w:pStyle w:val="ep0"/>
              <w:spacing w:line="276" w:lineRule="auto"/>
              <w:rPr>
                <w:rFonts w:asciiTheme="minorHAnsi" w:hAnsiTheme="minorHAnsi" w:cstheme="minorHAnsi"/>
                <w:sz w:val="20"/>
                <w:szCs w:val="20"/>
                <w:u w:val="single"/>
              </w:rPr>
            </w:pPr>
            <w:r w:rsidRPr="00DF0D09">
              <w:rPr>
                <w:rFonts w:asciiTheme="minorHAnsi" w:hAnsiTheme="minorHAnsi" w:cstheme="minorHAnsi"/>
                <w:sz w:val="20"/>
                <w:szCs w:val="20"/>
                <w:u w:val="single"/>
              </w:rPr>
              <w:t>If suxamethonium is contra-indicated, consider:</w:t>
            </w:r>
          </w:p>
          <w:p w14:paraId="21D1AE9F" w14:textId="77777777" w:rsidR="006D466E" w:rsidRPr="00DF0D09" w:rsidRDefault="006D466E" w:rsidP="00DF0D09">
            <w:pPr>
              <w:pStyle w:val="ListParagraph"/>
              <w:numPr>
                <w:ilvl w:val="0"/>
                <w:numId w:val="43"/>
              </w:numPr>
              <w:spacing w:line="276" w:lineRule="auto"/>
              <w:ind w:left="284" w:hanging="284"/>
              <w:rPr>
                <w:rFonts w:cstheme="minorHAnsi"/>
                <w:sz w:val="20"/>
                <w:szCs w:val="20"/>
                <w:u w:val="single"/>
              </w:rPr>
            </w:pPr>
            <w:r w:rsidRPr="00DF0D09">
              <w:rPr>
                <w:rFonts w:cstheme="minorHAnsi"/>
                <w:sz w:val="20"/>
                <w:szCs w:val="20"/>
                <w:u w:val="single"/>
              </w:rPr>
              <w:t>Rocuronium, 0.9 mg/kg, IV.</w:t>
            </w:r>
          </w:p>
          <w:p w14:paraId="64700344" w14:textId="77777777" w:rsidR="006D466E" w:rsidRPr="00DF0D09" w:rsidRDefault="006D466E" w:rsidP="00DF0D09">
            <w:pPr>
              <w:pStyle w:val="ListParagraph"/>
              <w:numPr>
                <w:ilvl w:val="1"/>
                <w:numId w:val="43"/>
              </w:numPr>
              <w:spacing w:line="276" w:lineRule="auto"/>
              <w:ind w:left="567" w:hanging="283"/>
              <w:rPr>
                <w:rFonts w:cstheme="minorHAnsi"/>
                <w:sz w:val="20"/>
                <w:szCs w:val="20"/>
                <w:u w:val="single"/>
              </w:rPr>
            </w:pPr>
            <w:r w:rsidRPr="00DF0D09">
              <w:rPr>
                <w:rFonts w:cstheme="minorHAnsi"/>
                <w:sz w:val="20"/>
                <w:szCs w:val="20"/>
                <w:u w:val="single"/>
              </w:rPr>
              <w:t>Duration +/- 60 minutes.</w:t>
            </w:r>
          </w:p>
          <w:p w14:paraId="19FBA02D" w14:textId="3BDD0B34" w:rsidR="006D466E" w:rsidRPr="00DF0D09" w:rsidRDefault="006D466E" w:rsidP="00DF0D09">
            <w:pPr>
              <w:spacing w:line="276" w:lineRule="auto"/>
              <w:rPr>
                <w:rFonts w:cstheme="minorHAnsi"/>
                <w:i/>
                <w:sz w:val="20"/>
                <w:szCs w:val="20"/>
                <w:u w:val="single"/>
              </w:rPr>
            </w:pPr>
            <w:r w:rsidRPr="00DF0D09">
              <w:rPr>
                <w:rFonts w:cstheme="minorHAnsi"/>
                <w:sz w:val="20"/>
                <w:szCs w:val="20"/>
                <w:u w:val="single"/>
              </w:rPr>
              <w:t>Sub-optimal conditions for intubating and prolonged effect can be problematic in the event of a difficult or failed intubation and if the procedure is short</w:t>
            </w:r>
            <w:r w:rsidRPr="00DF0D09">
              <w:rPr>
                <w:rFonts w:cstheme="minorHAnsi"/>
                <w:i/>
                <w:sz w:val="20"/>
                <w:szCs w:val="20"/>
                <w:u w:val="single"/>
              </w:rPr>
              <w:t>.</w:t>
            </w:r>
          </w:p>
        </w:tc>
      </w:tr>
    </w:tbl>
    <w:p w14:paraId="30D2C799" w14:textId="7E195424" w:rsidR="00E42740" w:rsidRDefault="00E42740" w:rsidP="008A6F6A">
      <w:pPr>
        <w:spacing w:after="0" w:line="240" w:lineRule="auto"/>
        <w:jc w:val="both"/>
        <w:rPr>
          <w:rFonts w:ascii="Calibri" w:eastAsia="Calibri" w:hAnsi="Calibri" w:cs="Calibri"/>
          <w:b/>
          <w:szCs w:val="10"/>
          <w:lang w:val="en-GB" w:eastAsia="ar-SA"/>
        </w:rPr>
      </w:pPr>
    </w:p>
    <w:p w14:paraId="2CBDE935" w14:textId="77777777" w:rsidR="00C45E49" w:rsidRDefault="00C45E49" w:rsidP="008A6F6A">
      <w:pPr>
        <w:spacing w:after="0" w:line="240" w:lineRule="auto"/>
        <w:jc w:val="both"/>
        <w:rPr>
          <w:rFonts w:ascii="Calibri" w:eastAsia="Calibri" w:hAnsi="Calibri" w:cs="Calibri"/>
          <w:b/>
          <w:szCs w:val="10"/>
          <w:lang w:val="en-GB" w:eastAsia="ar-SA"/>
        </w:rPr>
      </w:pPr>
    </w:p>
    <w:tbl>
      <w:tblPr>
        <w:tblW w:w="5000" w:type="pct"/>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ook w:val="00A0" w:firstRow="1" w:lastRow="0" w:firstColumn="1" w:lastColumn="0" w:noHBand="0" w:noVBand="0"/>
      </w:tblPr>
      <w:tblGrid>
        <w:gridCol w:w="10436"/>
      </w:tblGrid>
      <w:tr w:rsidR="00797E3B" w:rsidRPr="00600007" w14:paraId="5415373B" w14:textId="77777777" w:rsidTr="004450CB">
        <w:tc>
          <w:tcPr>
            <w:tcW w:w="5000" w:type="pct"/>
            <w:tcBorders>
              <w:top w:val="double" w:sz="4" w:space="0" w:color="C0C0C0"/>
              <w:left w:val="double" w:sz="4" w:space="0" w:color="C0C0C0"/>
              <w:bottom w:val="double" w:sz="4" w:space="0" w:color="C0C0C0"/>
              <w:right w:val="double" w:sz="4" w:space="0" w:color="C0C0C0"/>
            </w:tcBorders>
          </w:tcPr>
          <w:p w14:paraId="4BB75A6F" w14:textId="2C4190FE" w:rsidR="00797E3B" w:rsidRPr="00600007" w:rsidRDefault="00797E3B" w:rsidP="004450CB">
            <w:pPr>
              <w:widowControl w:val="0"/>
              <w:autoSpaceDE w:val="0"/>
              <w:autoSpaceDN w:val="0"/>
              <w:adjustRightInd w:val="0"/>
              <w:spacing w:before="120" w:after="120" w:line="240" w:lineRule="auto"/>
              <w:rPr>
                <w:rFonts w:cs="Calibri"/>
                <w:b/>
                <w:lang w:val="en-GB"/>
              </w:rPr>
            </w:pPr>
            <w:r w:rsidRPr="00797E3B">
              <w:rPr>
                <w:rFonts w:cs="Calibri"/>
                <w:b/>
                <w:spacing w:val="-4"/>
                <w:szCs w:val="20"/>
                <w:lang w:val="en-GB"/>
              </w:rPr>
              <w:t>20.11</w:t>
            </w:r>
            <w:r>
              <w:rPr>
                <w:rFonts w:cs="Calibri"/>
                <w:b/>
                <w:spacing w:val="-4"/>
                <w:szCs w:val="20"/>
                <w:lang w:val="en-GB"/>
              </w:rPr>
              <w:t xml:space="preserve">.3 </w:t>
            </w:r>
            <w:r w:rsidR="00DF0D09">
              <w:rPr>
                <w:rFonts w:ascii="Calibri" w:eastAsia="Calibri" w:hAnsi="Calibri" w:cs="Calibri"/>
                <w:b/>
                <w:szCs w:val="10"/>
                <w:lang w:val="en-GB" w:eastAsia="ar-SA"/>
              </w:rPr>
              <w:t>POST-INTUBATION SEDATION</w:t>
            </w:r>
          </w:p>
        </w:tc>
      </w:tr>
    </w:tbl>
    <w:p w14:paraId="14086203" w14:textId="77777777" w:rsidR="00DF0D09" w:rsidRDefault="00DF0D09" w:rsidP="008A6F6A">
      <w:pPr>
        <w:spacing w:after="0" w:line="240" w:lineRule="auto"/>
        <w:jc w:val="both"/>
        <w:rPr>
          <w:rFonts w:ascii="Calibri" w:eastAsia="Calibri" w:hAnsi="Calibri" w:cs="Calibri"/>
          <w:b/>
          <w:szCs w:val="10"/>
          <w:lang w:val="en-GB" w:eastAsia="ar-SA"/>
        </w:rPr>
      </w:pPr>
      <w:r>
        <w:rPr>
          <w:rFonts w:ascii="Calibri" w:eastAsia="Calibri" w:hAnsi="Calibri" w:cs="Calibri"/>
          <w:b/>
          <w:szCs w:val="10"/>
          <w:lang w:val="en-GB" w:eastAsia="ar-SA"/>
        </w:rPr>
        <w:t>Sedation</w:t>
      </w:r>
    </w:p>
    <w:p w14:paraId="65FA2416" w14:textId="675DC982" w:rsidR="00DF0D09" w:rsidRPr="00DF0D09" w:rsidRDefault="00DF0D09" w:rsidP="008A6F6A">
      <w:pPr>
        <w:spacing w:after="0" w:line="240" w:lineRule="auto"/>
        <w:jc w:val="both"/>
        <w:rPr>
          <w:rFonts w:ascii="Calibri" w:eastAsia="Calibri" w:hAnsi="Calibri" w:cs="Calibri"/>
          <w:bCs/>
          <w:szCs w:val="10"/>
          <w:lang w:val="en-GB" w:eastAsia="ar-SA"/>
        </w:rPr>
      </w:pPr>
      <w:r w:rsidRPr="00DF0D09">
        <w:rPr>
          <w:rFonts w:ascii="Calibri" w:eastAsia="Calibri" w:hAnsi="Calibri" w:cs="Calibri"/>
          <w:bCs/>
          <w:szCs w:val="10"/>
          <w:u w:val="single"/>
          <w:lang w:val="en-GB" w:eastAsia="ar-SA"/>
        </w:rPr>
        <w:t>Midazolam, IV:</w:t>
      </w:r>
      <w:r w:rsidRPr="00DF0D09">
        <w:rPr>
          <w:rFonts w:ascii="Calibri" w:eastAsia="Calibri" w:hAnsi="Calibri" w:cs="Calibri"/>
          <w:bCs/>
          <w:i/>
          <w:iCs/>
          <w:szCs w:val="10"/>
          <w:lang w:val="en-GB" w:eastAsia="ar-SA"/>
        </w:rPr>
        <w:t xml:space="preserve"> added</w:t>
      </w:r>
    </w:p>
    <w:p w14:paraId="454F5493" w14:textId="2D3C001D" w:rsidR="00DF0D09" w:rsidRPr="00DF0D09" w:rsidRDefault="00DF0D09" w:rsidP="008A6F6A">
      <w:pPr>
        <w:spacing w:after="0" w:line="240" w:lineRule="auto"/>
        <w:jc w:val="both"/>
        <w:rPr>
          <w:rFonts w:ascii="Calibri" w:eastAsia="Calibri" w:hAnsi="Calibri" w:cs="Calibri"/>
          <w:bCs/>
          <w:szCs w:val="10"/>
          <w:lang w:val="en-GB" w:eastAsia="ar-SA"/>
        </w:rPr>
      </w:pPr>
      <w:r w:rsidRPr="00DF0D09">
        <w:rPr>
          <w:rFonts w:ascii="Calibri" w:eastAsia="Calibri" w:hAnsi="Calibri" w:cs="Calibri"/>
          <w:bCs/>
          <w:szCs w:val="10"/>
          <w:u w:val="single"/>
          <w:lang w:val="en-GB" w:eastAsia="ar-SA"/>
        </w:rPr>
        <w:t>Propofol, IV</w:t>
      </w:r>
      <w:r w:rsidRPr="00DF0D09">
        <w:rPr>
          <w:rFonts w:ascii="Calibri" w:eastAsia="Calibri" w:hAnsi="Calibri" w:cs="Calibri"/>
          <w:bCs/>
          <w:szCs w:val="10"/>
          <w:lang w:val="en-GB" w:eastAsia="ar-SA"/>
        </w:rPr>
        <w:t xml:space="preserve">: </w:t>
      </w:r>
      <w:r w:rsidRPr="00DF0D09">
        <w:rPr>
          <w:rFonts w:ascii="Calibri" w:eastAsia="Calibri" w:hAnsi="Calibri" w:cs="Calibri"/>
          <w:bCs/>
          <w:i/>
          <w:iCs/>
          <w:szCs w:val="10"/>
          <w:lang w:val="en-GB" w:eastAsia="ar-SA"/>
        </w:rPr>
        <w:t>added</w:t>
      </w:r>
    </w:p>
    <w:p w14:paraId="71DD1440" w14:textId="3C419088" w:rsidR="00DF0D09" w:rsidRPr="00DF0D09" w:rsidRDefault="00DF0D09" w:rsidP="008A6F6A">
      <w:pPr>
        <w:spacing w:after="0" w:line="240" w:lineRule="auto"/>
        <w:jc w:val="both"/>
        <w:rPr>
          <w:rFonts w:ascii="Calibri" w:eastAsia="Calibri" w:hAnsi="Calibri" w:cs="Calibri"/>
          <w:bCs/>
          <w:szCs w:val="10"/>
          <w:lang w:val="en-GB" w:eastAsia="ar-SA"/>
        </w:rPr>
      </w:pPr>
      <w:r w:rsidRPr="00DF0D09">
        <w:rPr>
          <w:rFonts w:ascii="Calibri" w:eastAsia="Calibri" w:hAnsi="Calibri" w:cs="Calibri"/>
          <w:bCs/>
          <w:szCs w:val="10"/>
          <w:u w:val="single"/>
          <w:lang w:val="en-GB" w:eastAsia="ar-SA"/>
        </w:rPr>
        <w:t>Lorazepam, IV</w:t>
      </w:r>
      <w:r w:rsidRPr="00DF0D09">
        <w:rPr>
          <w:rFonts w:ascii="Calibri" w:eastAsia="Calibri" w:hAnsi="Calibri" w:cs="Calibri"/>
          <w:bCs/>
          <w:szCs w:val="10"/>
          <w:lang w:val="en-GB" w:eastAsia="ar-SA"/>
        </w:rPr>
        <w:t xml:space="preserve">: </w:t>
      </w:r>
      <w:r w:rsidRPr="00DF0D09">
        <w:rPr>
          <w:rFonts w:ascii="Calibri" w:eastAsia="Calibri" w:hAnsi="Calibri" w:cs="Calibri"/>
          <w:bCs/>
          <w:i/>
          <w:iCs/>
          <w:szCs w:val="10"/>
          <w:lang w:val="en-GB" w:eastAsia="ar-SA"/>
        </w:rPr>
        <w:t>added</w:t>
      </w:r>
    </w:p>
    <w:p w14:paraId="54791EC8" w14:textId="77777777" w:rsidR="00DF0D09" w:rsidRDefault="00DF0D09" w:rsidP="008A6F6A">
      <w:pPr>
        <w:spacing w:after="0" w:line="240" w:lineRule="auto"/>
        <w:jc w:val="both"/>
        <w:rPr>
          <w:rFonts w:ascii="Calibri" w:eastAsia="Calibri" w:hAnsi="Calibri" w:cs="Calibri"/>
          <w:b/>
          <w:szCs w:val="10"/>
          <w:lang w:val="en-GB" w:eastAsia="ar-SA"/>
        </w:rPr>
      </w:pPr>
    </w:p>
    <w:p w14:paraId="5C04D22F" w14:textId="3F5626E0" w:rsidR="00DF0D09" w:rsidRPr="004450CB" w:rsidRDefault="00DF0D09" w:rsidP="00DF0D09">
      <w:pPr>
        <w:spacing w:after="0" w:line="240" w:lineRule="auto"/>
        <w:jc w:val="both"/>
        <w:rPr>
          <w:rFonts w:ascii="Calibri" w:eastAsia="Calibri" w:hAnsi="Calibri" w:cs="Calibri"/>
          <w:bCs/>
          <w:szCs w:val="10"/>
          <w:lang w:val="en-ZA"/>
        </w:rPr>
      </w:pPr>
      <w:r w:rsidRPr="00797E3B">
        <w:rPr>
          <w:rFonts w:ascii="Calibri" w:eastAsia="Calibri" w:hAnsi="Calibri" w:cs="Calibri"/>
          <w:bCs/>
          <w:szCs w:val="10"/>
          <w:lang w:val="en-ZA"/>
        </w:rPr>
        <w:t xml:space="preserve">The following STG </w:t>
      </w:r>
      <w:r w:rsidR="007B1B30">
        <w:rPr>
          <w:rFonts w:ascii="Calibri" w:eastAsia="Calibri" w:hAnsi="Calibri" w:cs="Calibri"/>
          <w:bCs/>
          <w:szCs w:val="10"/>
          <w:lang w:val="en-ZA"/>
        </w:rPr>
        <w:t xml:space="preserve">text </w:t>
      </w:r>
      <w:r w:rsidRPr="00797E3B">
        <w:rPr>
          <w:rFonts w:ascii="Calibri" w:eastAsia="Calibri" w:hAnsi="Calibri" w:cs="Calibri"/>
          <w:bCs/>
          <w:szCs w:val="10"/>
          <w:lang w:val="en-ZA"/>
        </w:rPr>
        <w:t xml:space="preserve">was added, aligned with the Adult Hospital </w:t>
      </w:r>
      <w:r w:rsidRPr="006D466E">
        <w:rPr>
          <w:rFonts w:ascii="Calibri" w:eastAsia="Calibri" w:hAnsi="Calibri" w:cs="Calibri"/>
          <w:bCs/>
          <w:szCs w:val="10"/>
          <w:lang w:val="en-ZA"/>
        </w:rPr>
        <w:t xml:space="preserve">chapter </w:t>
      </w:r>
      <w:r w:rsidR="007B1B30">
        <w:rPr>
          <w:rFonts w:ascii="Calibri" w:eastAsia="Calibri" w:hAnsi="Calibri" w:cs="Calibri"/>
          <w:bCs/>
          <w:szCs w:val="10"/>
          <w:lang w:val="en-ZA"/>
        </w:rPr>
        <w:t>23</w:t>
      </w:r>
      <w:r w:rsidRPr="006D466E">
        <w:rPr>
          <w:rFonts w:ascii="Calibri" w:eastAsia="Calibri" w:hAnsi="Calibri" w:cs="Calibri"/>
          <w:bCs/>
          <w:szCs w:val="10"/>
          <w:lang w:val="en-ZA"/>
        </w:rPr>
        <w:t xml:space="preserve">: </w:t>
      </w:r>
      <w:r w:rsidR="007B1B30">
        <w:rPr>
          <w:rFonts w:ascii="Calibri" w:eastAsia="Calibri" w:hAnsi="Calibri" w:cs="Calibri"/>
          <w:bCs/>
          <w:szCs w:val="10"/>
          <w:lang w:val="en-ZA"/>
        </w:rPr>
        <w:t>Sedation, with amendments</w:t>
      </w:r>
      <w:r w:rsidR="00987EFB">
        <w:rPr>
          <w:rFonts w:ascii="Calibri" w:eastAsia="Calibri" w:hAnsi="Calibri" w:cs="Calibri"/>
          <w:bCs/>
          <w:szCs w:val="10"/>
          <w:lang w:val="en-ZA"/>
        </w:rPr>
        <w:t xml:space="preserve"> (highlighted in yellow):</w:t>
      </w:r>
    </w:p>
    <w:tbl>
      <w:tblPr>
        <w:tblStyle w:val="TableGrid"/>
        <w:tblW w:w="0" w:type="auto"/>
        <w:tblLook w:val="04A0" w:firstRow="1" w:lastRow="0" w:firstColumn="1" w:lastColumn="0" w:noHBand="0" w:noVBand="1"/>
      </w:tblPr>
      <w:tblGrid>
        <w:gridCol w:w="10456"/>
      </w:tblGrid>
      <w:tr w:rsidR="00DF0D09" w:rsidRPr="00DF0D09" w14:paraId="6CA0256C" w14:textId="77777777" w:rsidTr="00DF0D09">
        <w:tc>
          <w:tcPr>
            <w:tcW w:w="10456" w:type="dxa"/>
          </w:tcPr>
          <w:p w14:paraId="58A1E38E" w14:textId="77777777" w:rsidR="00DF0D09" w:rsidRPr="00987EFB" w:rsidRDefault="00DF0D09" w:rsidP="00DF0D09">
            <w:pPr>
              <w:pStyle w:val="BodyText3"/>
              <w:spacing w:after="0" w:line="276" w:lineRule="auto"/>
              <w:jc w:val="both"/>
              <w:rPr>
                <w:rFonts w:asciiTheme="minorHAnsi" w:hAnsiTheme="minorHAnsi" w:cstheme="minorHAnsi"/>
                <w:spacing w:val="-2"/>
                <w:sz w:val="20"/>
                <w:szCs w:val="20"/>
                <w:highlight w:val="yellow"/>
                <w:u w:val="single"/>
              </w:rPr>
            </w:pPr>
            <w:r w:rsidRPr="00987EFB">
              <w:rPr>
                <w:rFonts w:asciiTheme="minorHAnsi" w:hAnsiTheme="minorHAnsi" w:cstheme="minorHAnsi"/>
                <w:spacing w:val="-2"/>
                <w:sz w:val="20"/>
                <w:szCs w:val="20"/>
                <w:highlight w:val="yellow"/>
                <w:u w:val="single"/>
              </w:rPr>
              <w:t>Sedation requirements fluctuate rapidly and warrant regular review. Individualised sedation objectives should be clearly defined, and level of sedation regularly recorded. Sedation protocols that recognise the need for dose minimisation, weaning and sedation interruptions probably improve outcomes.</w:t>
            </w:r>
          </w:p>
          <w:p w14:paraId="7B817C83" w14:textId="6305AD02" w:rsidR="00DF0D09" w:rsidRPr="00DF0D09" w:rsidRDefault="00DF0D09" w:rsidP="00DF0D09">
            <w:pPr>
              <w:pStyle w:val="BodyText3"/>
              <w:spacing w:after="0" w:line="276" w:lineRule="auto"/>
              <w:jc w:val="both"/>
              <w:rPr>
                <w:rFonts w:asciiTheme="minorHAnsi" w:hAnsiTheme="minorHAnsi" w:cstheme="minorHAnsi"/>
                <w:sz w:val="20"/>
                <w:szCs w:val="20"/>
                <w:u w:val="single"/>
              </w:rPr>
            </w:pPr>
            <w:r w:rsidRPr="00987EFB">
              <w:rPr>
                <w:rFonts w:asciiTheme="minorHAnsi" w:hAnsiTheme="minorHAnsi" w:cstheme="minorHAnsi"/>
                <w:sz w:val="20"/>
                <w:szCs w:val="20"/>
                <w:highlight w:val="yellow"/>
                <w:u w:val="single"/>
              </w:rPr>
              <w:t>Adequate pain control is often more efficacious than sedatives for reducing agitation. The doses listed apply to ventilated patients in whom short term respiratory depression is not a concern</w:t>
            </w:r>
            <w:r w:rsidR="00987EFB">
              <w:rPr>
                <w:rStyle w:val="FootnoteReference"/>
                <w:rFonts w:asciiTheme="minorHAnsi" w:hAnsiTheme="minorHAnsi" w:cstheme="minorHAnsi"/>
                <w:sz w:val="20"/>
                <w:szCs w:val="20"/>
                <w:highlight w:val="yellow"/>
                <w:u w:val="single"/>
              </w:rPr>
              <w:footnoteReference w:id="1"/>
            </w:r>
            <w:r w:rsidRPr="00987EFB">
              <w:rPr>
                <w:rFonts w:asciiTheme="minorHAnsi" w:hAnsiTheme="minorHAnsi" w:cstheme="minorHAnsi"/>
                <w:sz w:val="20"/>
                <w:szCs w:val="20"/>
                <w:highlight w:val="yellow"/>
                <w:u w:val="single"/>
              </w:rPr>
              <w:t>.</w:t>
            </w:r>
          </w:p>
          <w:p w14:paraId="31929C1C" w14:textId="28B966A6" w:rsidR="00DF0D09" w:rsidRDefault="00DF0D09" w:rsidP="00DF0D09">
            <w:pPr>
              <w:pStyle w:val="BodyText3"/>
              <w:spacing w:after="0" w:line="276" w:lineRule="auto"/>
              <w:rPr>
                <w:rFonts w:asciiTheme="minorHAnsi" w:hAnsiTheme="minorHAnsi" w:cstheme="minorHAnsi"/>
                <w:sz w:val="20"/>
                <w:szCs w:val="20"/>
                <w:u w:val="single"/>
              </w:rPr>
            </w:pPr>
          </w:p>
          <w:p w14:paraId="6BA3C465" w14:textId="6213B128" w:rsidR="00C70490" w:rsidRPr="00C70490" w:rsidRDefault="00C70490" w:rsidP="00DF0D09">
            <w:pPr>
              <w:pStyle w:val="BodyText3"/>
              <w:spacing w:after="0" w:line="276" w:lineRule="auto"/>
              <w:rPr>
                <w:rFonts w:asciiTheme="minorHAnsi" w:hAnsiTheme="minorHAnsi" w:cstheme="minorHAnsi"/>
                <w:b/>
                <w:bCs/>
                <w:sz w:val="22"/>
                <w:szCs w:val="22"/>
                <w:u w:val="single"/>
              </w:rPr>
            </w:pPr>
            <w:r w:rsidRPr="00C70490">
              <w:rPr>
                <w:rFonts w:asciiTheme="minorHAnsi" w:hAnsiTheme="minorHAnsi" w:cstheme="minorHAnsi"/>
                <w:b/>
                <w:bCs/>
                <w:sz w:val="22"/>
                <w:szCs w:val="22"/>
                <w:u w:val="single"/>
              </w:rPr>
              <w:t>Sedation</w:t>
            </w:r>
          </w:p>
          <w:p w14:paraId="607BB503" w14:textId="77777777" w:rsidR="00DF0D09" w:rsidRPr="00DF0D09" w:rsidRDefault="00DF0D09" w:rsidP="00DF0D09">
            <w:pPr>
              <w:pStyle w:val="BodyText3"/>
              <w:spacing w:after="0" w:line="276" w:lineRule="auto"/>
              <w:rPr>
                <w:rFonts w:asciiTheme="minorHAnsi" w:hAnsiTheme="minorHAnsi" w:cstheme="minorHAnsi"/>
                <w:b/>
                <w:sz w:val="20"/>
                <w:szCs w:val="20"/>
                <w:u w:val="single"/>
              </w:rPr>
            </w:pPr>
            <w:r w:rsidRPr="00DF0D09">
              <w:rPr>
                <w:rFonts w:asciiTheme="minorHAnsi" w:hAnsiTheme="minorHAnsi" w:cstheme="minorHAnsi"/>
                <w:b/>
                <w:sz w:val="20"/>
                <w:szCs w:val="20"/>
                <w:u w:val="single"/>
              </w:rPr>
              <w:t>Short term sedation (less than 24 hours)</w:t>
            </w:r>
          </w:p>
          <w:p w14:paraId="04DC21F0" w14:textId="77777777" w:rsidR="00DF0D09" w:rsidRPr="00DF0D09" w:rsidRDefault="00DF0D09" w:rsidP="00DF0D09">
            <w:pPr>
              <w:pStyle w:val="BodyText3"/>
              <w:numPr>
                <w:ilvl w:val="0"/>
                <w:numId w:val="46"/>
              </w:numPr>
              <w:spacing w:after="0" w:line="276" w:lineRule="auto"/>
              <w:rPr>
                <w:rFonts w:asciiTheme="minorHAnsi" w:hAnsiTheme="minorHAnsi" w:cstheme="minorHAnsi"/>
                <w:sz w:val="20"/>
                <w:szCs w:val="20"/>
                <w:u w:val="single"/>
              </w:rPr>
            </w:pPr>
            <w:r w:rsidRPr="00DF0D09">
              <w:rPr>
                <w:rFonts w:asciiTheme="minorHAnsi" w:hAnsiTheme="minorHAnsi" w:cstheme="minorHAnsi"/>
                <w:sz w:val="20"/>
                <w:szCs w:val="20"/>
                <w:u w:val="single"/>
              </w:rPr>
              <w:t>Midazolam, IV infusion, 0.05</w:t>
            </w:r>
            <w:r w:rsidRPr="00DF0D09">
              <w:rPr>
                <w:rFonts w:asciiTheme="minorHAnsi" w:hAnsiTheme="minorHAnsi" w:cstheme="minorHAnsi"/>
                <w:bCs/>
                <w:color w:val="000000"/>
                <w:spacing w:val="-2"/>
                <w:sz w:val="20"/>
                <w:szCs w:val="20"/>
                <w:u w:val="single"/>
              </w:rPr>
              <w:t>–</w:t>
            </w:r>
            <w:r w:rsidRPr="00DF0D09">
              <w:rPr>
                <w:rFonts w:asciiTheme="minorHAnsi" w:hAnsiTheme="minorHAnsi" w:cstheme="minorHAnsi"/>
                <w:sz w:val="20"/>
                <w:szCs w:val="20"/>
                <w:u w:val="single"/>
              </w:rPr>
              <w:t>0.2 mg/kg/hour.</w:t>
            </w:r>
          </w:p>
          <w:p w14:paraId="0C0EB29B" w14:textId="77777777" w:rsidR="00DF0D09" w:rsidRPr="00DF0D09" w:rsidRDefault="00DF0D09" w:rsidP="00DF0D09">
            <w:pPr>
              <w:pStyle w:val="BodyText3"/>
              <w:spacing w:after="0" w:line="276" w:lineRule="auto"/>
              <w:rPr>
                <w:rFonts w:asciiTheme="minorHAnsi" w:hAnsiTheme="minorHAnsi" w:cstheme="minorHAnsi"/>
                <w:b/>
                <w:sz w:val="20"/>
                <w:szCs w:val="20"/>
                <w:u w:val="single"/>
              </w:rPr>
            </w:pPr>
            <w:r w:rsidRPr="00DF0D09">
              <w:rPr>
                <w:rFonts w:asciiTheme="minorHAnsi" w:hAnsiTheme="minorHAnsi" w:cstheme="minorHAnsi"/>
                <w:b/>
                <w:sz w:val="20"/>
                <w:szCs w:val="20"/>
                <w:u w:val="single"/>
              </w:rPr>
              <w:t>OR</w:t>
            </w:r>
          </w:p>
          <w:p w14:paraId="2AE6A38D" w14:textId="77777777" w:rsidR="00DF0D09" w:rsidRPr="00DF0D09" w:rsidRDefault="00DF0D09" w:rsidP="00DF0D09">
            <w:pPr>
              <w:pStyle w:val="BodyText3"/>
              <w:tabs>
                <w:tab w:val="left" w:pos="284"/>
              </w:tabs>
              <w:spacing w:after="0" w:line="276" w:lineRule="auto"/>
              <w:rPr>
                <w:rFonts w:asciiTheme="minorHAnsi" w:hAnsiTheme="minorHAnsi" w:cstheme="minorHAnsi"/>
                <w:sz w:val="20"/>
                <w:szCs w:val="20"/>
                <w:u w:val="single"/>
              </w:rPr>
            </w:pPr>
            <w:r w:rsidRPr="00DF0D09">
              <w:rPr>
                <w:rFonts w:asciiTheme="minorHAnsi" w:hAnsiTheme="minorHAnsi" w:cstheme="minorHAnsi"/>
                <w:sz w:val="20"/>
                <w:szCs w:val="20"/>
                <w:u w:val="single"/>
              </w:rPr>
              <w:lastRenderedPageBreak/>
              <w:tab/>
              <w:t>Propofol, IV infusion, 0.5 mg/kg/hour.</w:t>
            </w:r>
          </w:p>
          <w:p w14:paraId="6D1D1763" w14:textId="77777777" w:rsidR="00DF0D09" w:rsidRPr="00DF0D09" w:rsidRDefault="00DF0D09" w:rsidP="00DF0D09">
            <w:pPr>
              <w:pStyle w:val="CommentText"/>
              <w:spacing w:line="276" w:lineRule="auto"/>
              <w:rPr>
                <w:rFonts w:cstheme="minorHAnsi"/>
                <w:u w:val="single"/>
              </w:rPr>
            </w:pPr>
            <w:r w:rsidRPr="00DF0D09">
              <w:rPr>
                <w:rFonts w:cstheme="minorHAnsi"/>
                <w:u w:val="single"/>
              </w:rPr>
              <w:t xml:space="preserve">Note: Propofol does have cardiovascular effects; benzodiazepines </w:t>
            </w:r>
          </w:p>
          <w:p w14:paraId="33F1ED78" w14:textId="77777777" w:rsidR="00DF0D09" w:rsidRPr="00DF0D09" w:rsidRDefault="00DF0D09" w:rsidP="00DF0D09">
            <w:pPr>
              <w:pStyle w:val="CommentText"/>
              <w:spacing w:line="276" w:lineRule="auto"/>
              <w:rPr>
                <w:rFonts w:cstheme="minorHAnsi"/>
                <w:u w:val="single"/>
              </w:rPr>
            </w:pPr>
            <w:r w:rsidRPr="00DF0D09">
              <w:rPr>
                <w:rFonts w:cstheme="minorHAnsi"/>
                <w:u w:val="single"/>
              </w:rPr>
              <w:t xml:space="preserve">are preferred. </w:t>
            </w:r>
          </w:p>
          <w:p w14:paraId="416AA388" w14:textId="77777777" w:rsidR="00DF0D09" w:rsidRPr="00DF0D09" w:rsidRDefault="00DF0D09" w:rsidP="00DF0D09">
            <w:pPr>
              <w:pStyle w:val="BodyText3"/>
              <w:spacing w:after="0" w:line="276" w:lineRule="auto"/>
              <w:rPr>
                <w:rFonts w:asciiTheme="minorHAnsi" w:hAnsiTheme="minorHAnsi" w:cstheme="minorHAnsi"/>
                <w:b/>
                <w:sz w:val="20"/>
                <w:szCs w:val="20"/>
                <w:u w:val="single"/>
              </w:rPr>
            </w:pPr>
            <w:r w:rsidRPr="00DF0D09">
              <w:rPr>
                <w:rFonts w:asciiTheme="minorHAnsi" w:hAnsiTheme="minorHAnsi" w:cstheme="minorHAnsi"/>
                <w:b/>
                <w:sz w:val="20"/>
                <w:szCs w:val="20"/>
                <w:u w:val="single"/>
              </w:rPr>
              <w:t>Longer term sedation (expected 72 hours or more)</w:t>
            </w:r>
          </w:p>
          <w:p w14:paraId="3310638F" w14:textId="08C91976" w:rsidR="00DF0D09" w:rsidRPr="00DF0D09" w:rsidRDefault="00DF0470" w:rsidP="00DF0D09">
            <w:pPr>
              <w:pStyle w:val="BodyText3"/>
              <w:numPr>
                <w:ilvl w:val="0"/>
                <w:numId w:val="46"/>
              </w:numPr>
              <w:spacing w:after="0" w:line="276" w:lineRule="auto"/>
              <w:rPr>
                <w:rFonts w:asciiTheme="minorHAnsi" w:hAnsiTheme="minorHAnsi" w:cstheme="minorHAnsi"/>
                <w:sz w:val="20"/>
                <w:szCs w:val="20"/>
                <w:u w:val="single"/>
              </w:rPr>
            </w:pPr>
            <w:r w:rsidRPr="00DF0D09">
              <w:rPr>
                <w:rFonts w:asciiTheme="minorHAnsi" w:hAnsiTheme="minorHAnsi" w:cstheme="minorHAnsi"/>
                <w:sz w:val="20"/>
                <w:szCs w:val="20"/>
                <w:u w:val="single"/>
              </w:rPr>
              <w:t>Midazolam, IV, 0.2 mg/kg/hour.</w:t>
            </w:r>
          </w:p>
          <w:p w14:paraId="16C845E9" w14:textId="77777777" w:rsidR="00DF0D09" w:rsidRPr="00DF0D09" w:rsidRDefault="00DF0D09" w:rsidP="00DF0D09">
            <w:pPr>
              <w:pStyle w:val="BodyText3"/>
              <w:spacing w:after="0" w:line="276" w:lineRule="auto"/>
              <w:rPr>
                <w:rFonts w:asciiTheme="minorHAnsi" w:hAnsiTheme="minorHAnsi" w:cstheme="minorHAnsi"/>
                <w:b/>
                <w:sz w:val="20"/>
                <w:szCs w:val="20"/>
                <w:u w:val="single"/>
              </w:rPr>
            </w:pPr>
            <w:r w:rsidRPr="00DF0D09">
              <w:rPr>
                <w:rFonts w:asciiTheme="minorHAnsi" w:hAnsiTheme="minorHAnsi" w:cstheme="minorHAnsi"/>
                <w:b/>
                <w:sz w:val="20"/>
                <w:szCs w:val="20"/>
                <w:u w:val="single"/>
              </w:rPr>
              <w:t>OR</w:t>
            </w:r>
          </w:p>
          <w:p w14:paraId="1C2EB0C5" w14:textId="7BA1C14B" w:rsidR="00DF0D09" w:rsidRPr="00DF0D09" w:rsidRDefault="00DF0D09" w:rsidP="00DF0D09">
            <w:pPr>
              <w:pStyle w:val="BodyText3"/>
              <w:tabs>
                <w:tab w:val="left" w:pos="284"/>
              </w:tabs>
              <w:spacing w:after="0" w:line="276" w:lineRule="auto"/>
              <w:rPr>
                <w:rFonts w:asciiTheme="minorHAnsi" w:hAnsiTheme="minorHAnsi" w:cstheme="minorHAnsi"/>
                <w:sz w:val="20"/>
                <w:szCs w:val="20"/>
                <w:u w:val="single"/>
              </w:rPr>
            </w:pPr>
            <w:r w:rsidRPr="00DF0D09">
              <w:rPr>
                <w:rFonts w:asciiTheme="minorHAnsi" w:hAnsiTheme="minorHAnsi" w:cstheme="minorHAnsi"/>
                <w:sz w:val="20"/>
                <w:szCs w:val="20"/>
                <w:u w:val="single"/>
              </w:rPr>
              <w:tab/>
            </w:r>
            <w:r w:rsidR="00DF0470" w:rsidRPr="00DF0D09">
              <w:rPr>
                <w:rFonts w:asciiTheme="minorHAnsi" w:hAnsiTheme="minorHAnsi" w:cstheme="minorHAnsi"/>
                <w:sz w:val="20"/>
                <w:szCs w:val="20"/>
                <w:u w:val="single"/>
              </w:rPr>
              <w:t>Lorazepam, IV, 0.1 mg/kg/hour.</w:t>
            </w:r>
          </w:p>
          <w:p w14:paraId="46404717" w14:textId="77777777" w:rsidR="00DF0D09" w:rsidRPr="00DF0D09" w:rsidRDefault="00DF0D09" w:rsidP="00DF0D09">
            <w:pPr>
              <w:pStyle w:val="BodyText3"/>
              <w:spacing w:after="0" w:line="276" w:lineRule="auto"/>
              <w:rPr>
                <w:rFonts w:asciiTheme="minorHAnsi" w:hAnsiTheme="minorHAnsi" w:cstheme="minorHAnsi"/>
                <w:sz w:val="20"/>
                <w:szCs w:val="20"/>
                <w:u w:val="single"/>
              </w:rPr>
            </w:pPr>
          </w:p>
          <w:p w14:paraId="48407A49" w14:textId="3E540857" w:rsidR="00DF0D09" w:rsidRPr="00DF0D09" w:rsidRDefault="00DF0D09" w:rsidP="00DF0D09">
            <w:pPr>
              <w:pStyle w:val="BodyText3"/>
              <w:spacing w:after="0" w:line="276" w:lineRule="auto"/>
              <w:jc w:val="both"/>
              <w:rPr>
                <w:rFonts w:asciiTheme="minorHAnsi" w:hAnsiTheme="minorHAnsi" w:cstheme="minorHAnsi"/>
                <w:sz w:val="20"/>
                <w:szCs w:val="20"/>
                <w:u w:val="single"/>
              </w:rPr>
            </w:pPr>
            <w:r w:rsidRPr="00DF0D09">
              <w:rPr>
                <w:rFonts w:asciiTheme="minorHAnsi" w:hAnsiTheme="minorHAnsi" w:cstheme="minorHAnsi"/>
                <w:b/>
                <w:sz w:val="20"/>
                <w:szCs w:val="20"/>
                <w:u w:val="single"/>
              </w:rPr>
              <w:t>Note</w:t>
            </w:r>
            <w:r w:rsidRPr="00DF0D09">
              <w:rPr>
                <w:rFonts w:asciiTheme="minorHAnsi" w:hAnsiTheme="minorHAnsi" w:cstheme="minorHAnsi"/>
                <w:sz w:val="20"/>
                <w:szCs w:val="20"/>
                <w:u w:val="single"/>
              </w:rPr>
              <w:t xml:space="preserve">: Lorazepam (0.1 mg/kg/hour) is as effective (and as easy to wean) as midazolam 0.2 mg/kg/hour) but is more difficult to titrate. Due to high fat solubility, midazolam also becomes ‘long acting’ after infusions of more than 24 hours. </w:t>
            </w:r>
          </w:p>
        </w:tc>
      </w:tr>
    </w:tbl>
    <w:p w14:paraId="7304FAF8" w14:textId="68C849EC" w:rsidR="00DF0D09" w:rsidRDefault="00DF0D09" w:rsidP="008A6F6A">
      <w:pPr>
        <w:spacing w:after="0" w:line="240" w:lineRule="auto"/>
        <w:jc w:val="both"/>
        <w:rPr>
          <w:rFonts w:ascii="Calibri" w:eastAsia="Calibri" w:hAnsi="Calibri" w:cs="Calibri"/>
          <w:b/>
          <w:szCs w:val="10"/>
          <w:lang w:val="en-GB" w:eastAsia="ar-SA"/>
        </w:rPr>
      </w:pPr>
    </w:p>
    <w:p w14:paraId="66C8DBBE" w14:textId="723863EA" w:rsidR="00DF0D09" w:rsidRDefault="00DF0D09" w:rsidP="008A6F6A">
      <w:pPr>
        <w:spacing w:after="0" w:line="240" w:lineRule="auto"/>
        <w:jc w:val="both"/>
        <w:rPr>
          <w:rFonts w:ascii="Calibri" w:eastAsia="Calibri" w:hAnsi="Calibri" w:cs="Calibri"/>
          <w:b/>
          <w:szCs w:val="10"/>
          <w:lang w:val="en-GB" w:eastAsia="ar-SA"/>
        </w:rPr>
      </w:pPr>
      <w:r>
        <w:rPr>
          <w:rFonts w:ascii="Calibri" w:eastAsia="Calibri" w:hAnsi="Calibri" w:cs="Calibri"/>
          <w:b/>
          <w:szCs w:val="10"/>
          <w:lang w:val="en-GB" w:eastAsia="ar-SA"/>
        </w:rPr>
        <w:t>Supplemental analgesia</w:t>
      </w:r>
    </w:p>
    <w:p w14:paraId="7D3E5949" w14:textId="03E1D66A" w:rsidR="00DF0D09" w:rsidRPr="00C70490" w:rsidRDefault="00DF0D09" w:rsidP="00DF0D09">
      <w:pPr>
        <w:spacing w:after="0" w:line="240" w:lineRule="auto"/>
        <w:jc w:val="both"/>
        <w:rPr>
          <w:rFonts w:ascii="Calibri" w:eastAsia="Calibri" w:hAnsi="Calibri" w:cs="Calibri"/>
          <w:bCs/>
          <w:szCs w:val="10"/>
          <w:lang w:val="en-GB" w:eastAsia="ar-SA"/>
        </w:rPr>
      </w:pPr>
      <w:r w:rsidRPr="00C70490">
        <w:rPr>
          <w:rFonts w:ascii="Calibri" w:eastAsia="Calibri" w:hAnsi="Calibri" w:cs="Calibri"/>
          <w:bCs/>
          <w:szCs w:val="10"/>
          <w:u w:val="single"/>
          <w:lang w:val="en-GB" w:eastAsia="ar-SA"/>
        </w:rPr>
        <w:t>Morphine, IV:</w:t>
      </w:r>
      <w:r w:rsidRPr="00C70490">
        <w:rPr>
          <w:rFonts w:ascii="Calibri" w:eastAsia="Calibri" w:hAnsi="Calibri" w:cs="Calibri"/>
          <w:bCs/>
          <w:szCs w:val="10"/>
          <w:lang w:val="en-GB" w:eastAsia="ar-SA"/>
        </w:rPr>
        <w:t xml:space="preserve"> </w:t>
      </w:r>
      <w:r w:rsidRPr="00C70490">
        <w:rPr>
          <w:rFonts w:ascii="Calibri" w:eastAsia="Calibri" w:hAnsi="Calibri" w:cs="Calibri"/>
          <w:bCs/>
          <w:i/>
          <w:iCs/>
          <w:szCs w:val="10"/>
          <w:lang w:val="en-GB" w:eastAsia="ar-SA"/>
        </w:rPr>
        <w:t>added</w:t>
      </w:r>
    </w:p>
    <w:p w14:paraId="44F2BE3A" w14:textId="53D6E4B5" w:rsidR="00DF0D09" w:rsidRPr="00C70490" w:rsidRDefault="00DF0D09" w:rsidP="00DF0D09">
      <w:pPr>
        <w:spacing w:after="0" w:line="240" w:lineRule="auto"/>
        <w:jc w:val="both"/>
        <w:rPr>
          <w:rFonts w:ascii="Calibri" w:eastAsia="Calibri" w:hAnsi="Calibri" w:cs="Calibri"/>
          <w:bCs/>
          <w:szCs w:val="10"/>
          <w:lang w:val="en-GB" w:eastAsia="ar-SA"/>
        </w:rPr>
      </w:pPr>
      <w:r w:rsidRPr="00C70490">
        <w:rPr>
          <w:rFonts w:ascii="Calibri" w:eastAsia="Calibri" w:hAnsi="Calibri" w:cs="Calibri"/>
          <w:bCs/>
          <w:szCs w:val="10"/>
          <w:u w:val="single"/>
          <w:lang w:val="en-GB" w:eastAsia="ar-SA"/>
        </w:rPr>
        <w:t>Fentanyl, IV</w:t>
      </w:r>
      <w:r w:rsidRPr="00C70490">
        <w:rPr>
          <w:rFonts w:ascii="Calibri" w:eastAsia="Calibri" w:hAnsi="Calibri" w:cs="Calibri"/>
          <w:bCs/>
          <w:szCs w:val="10"/>
          <w:lang w:val="en-GB" w:eastAsia="ar-SA"/>
        </w:rPr>
        <w:t xml:space="preserve">: </w:t>
      </w:r>
      <w:r w:rsidRPr="00C70490">
        <w:rPr>
          <w:rFonts w:ascii="Calibri" w:eastAsia="Calibri" w:hAnsi="Calibri" w:cs="Calibri"/>
          <w:bCs/>
          <w:i/>
          <w:iCs/>
          <w:szCs w:val="10"/>
          <w:lang w:val="en-GB" w:eastAsia="ar-SA"/>
        </w:rPr>
        <w:t>added</w:t>
      </w:r>
    </w:p>
    <w:p w14:paraId="785DEC55" w14:textId="15ADC325" w:rsidR="00DF0D09" w:rsidRPr="00C70490" w:rsidRDefault="00DF0D09" w:rsidP="00DF0D09">
      <w:pPr>
        <w:spacing w:after="0" w:line="240" w:lineRule="auto"/>
        <w:jc w:val="both"/>
        <w:rPr>
          <w:rFonts w:ascii="Calibri" w:eastAsia="Calibri" w:hAnsi="Calibri" w:cs="Calibri"/>
          <w:bCs/>
          <w:szCs w:val="10"/>
          <w:lang w:val="en-GB" w:eastAsia="ar-SA"/>
        </w:rPr>
      </w:pPr>
      <w:r w:rsidRPr="00C70490">
        <w:rPr>
          <w:rFonts w:ascii="Calibri" w:eastAsia="Calibri" w:hAnsi="Calibri" w:cs="Calibri"/>
          <w:bCs/>
          <w:szCs w:val="10"/>
          <w:u w:val="single"/>
          <w:lang w:val="en-GB" w:eastAsia="ar-SA"/>
        </w:rPr>
        <w:t>Ketamine, IV</w:t>
      </w:r>
      <w:r w:rsidRPr="00C70490">
        <w:rPr>
          <w:rFonts w:ascii="Calibri" w:eastAsia="Calibri" w:hAnsi="Calibri" w:cs="Calibri"/>
          <w:bCs/>
          <w:szCs w:val="10"/>
          <w:lang w:val="en-GB" w:eastAsia="ar-SA"/>
        </w:rPr>
        <w:t xml:space="preserve">: </w:t>
      </w:r>
      <w:r w:rsidRPr="00C70490">
        <w:rPr>
          <w:rFonts w:ascii="Calibri" w:eastAsia="Calibri" w:hAnsi="Calibri" w:cs="Calibri"/>
          <w:bCs/>
          <w:i/>
          <w:iCs/>
          <w:szCs w:val="10"/>
          <w:lang w:val="en-GB" w:eastAsia="ar-SA"/>
        </w:rPr>
        <w:t>added</w:t>
      </w:r>
    </w:p>
    <w:p w14:paraId="462418B0" w14:textId="77777777" w:rsidR="00DF0D09" w:rsidRDefault="00DF0D09" w:rsidP="00DF0D09">
      <w:pPr>
        <w:spacing w:after="0" w:line="240" w:lineRule="auto"/>
        <w:jc w:val="both"/>
        <w:rPr>
          <w:rFonts w:ascii="Calibri" w:eastAsia="Calibri" w:hAnsi="Calibri" w:cs="Calibri"/>
          <w:b/>
          <w:szCs w:val="10"/>
          <w:lang w:val="en-GB" w:eastAsia="ar-SA"/>
        </w:rPr>
      </w:pPr>
    </w:p>
    <w:p w14:paraId="304A9906" w14:textId="4020AD43" w:rsidR="007B1B30" w:rsidRDefault="007B1B30" w:rsidP="007B1B30">
      <w:pPr>
        <w:spacing w:after="0" w:line="240" w:lineRule="auto"/>
        <w:jc w:val="both"/>
        <w:rPr>
          <w:rFonts w:ascii="Calibri" w:eastAsia="Calibri" w:hAnsi="Calibri" w:cs="Calibri"/>
          <w:bCs/>
          <w:szCs w:val="10"/>
          <w:lang w:val="en-ZA"/>
        </w:rPr>
      </w:pPr>
      <w:r w:rsidRPr="00797E3B">
        <w:rPr>
          <w:rFonts w:ascii="Calibri" w:eastAsia="Calibri" w:hAnsi="Calibri" w:cs="Calibri"/>
          <w:bCs/>
          <w:szCs w:val="10"/>
          <w:lang w:val="en-ZA"/>
        </w:rPr>
        <w:t xml:space="preserve">The following STG </w:t>
      </w:r>
      <w:r>
        <w:rPr>
          <w:rFonts w:ascii="Calibri" w:eastAsia="Calibri" w:hAnsi="Calibri" w:cs="Calibri"/>
          <w:bCs/>
          <w:szCs w:val="10"/>
          <w:lang w:val="en-ZA"/>
        </w:rPr>
        <w:t xml:space="preserve">text </w:t>
      </w:r>
      <w:r w:rsidRPr="00797E3B">
        <w:rPr>
          <w:rFonts w:ascii="Calibri" w:eastAsia="Calibri" w:hAnsi="Calibri" w:cs="Calibri"/>
          <w:bCs/>
          <w:szCs w:val="10"/>
          <w:lang w:val="en-ZA"/>
        </w:rPr>
        <w:t xml:space="preserve">was added, aligned with the Adult Hospital </w:t>
      </w:r>
      <w:r w:rsidRPr="006D466E">
        <w:rPr>
          <w:rFonts w:ascii="Calibri" w:eastAsia="Calibri" w:hAnsi="Calibri" w:cs="Calibri"/>
          <w:bCs/>
          <w:szCs w:val="10"/>
          <w:lang w:val="en-ZA"/>
        </w:rPr>
        <w:t xml:space="preserve">chapter </w:t>
      </w:r>
      <w:r>
        <w:rPr>
          <w:rFonts w:ascii="Calibri" w:eastAsia="Calibri" w:hAnsi="Calibri" w:cs="Calibri"/>
          <w:bCs/>
          <w:szCs w:val="10"/>
          <w:lang w:val="en-ZA"/>
        </w:rPr>
        <w:t>23</w:t>
      </w:r>
      <w:r w:rsidRPr="006D466E">
        <w:rPr>
          <w:rFonts w:ascii="Calibri" w:eastAsia="Calibri" w:hAnsi="Calibri" w:cs="Calibri"/>
          <w:bCs/>
          <w:szCs w:val="10"/>
          <w:lang w:val="en-ZA"/>
        </w:rPr>
        <w:t xml:space="preserve">: </w:t>
      </w:r>
      <w:r>
        <w:rPr>
          <w:rFonts w:ascii="Calibri" w:eastAsia="Calibri" w:hAnsi="Calibri" w:cs="Calibri"/>
          <w:bCs/>
          <w:szCs w:val="10"/>
          <w:lang w:val="en-ZA"/>
        </w:rPr>
        <w:t>Sedation, with the addition of adjunctive ketamine in the haemodynamically unstable patient.</w:t>
      </w:r>
    </w:p>
    <w:tbl>
      <w:tblPr>
        <w:tblStyle w:val="TableGrid"/>
        <w:tblW w:w="0" w:type="auto"/>
        <w:tblLook w:val="04A0" w:firstRow="1" w:lastRow="0" w:firstColumn="1" w:lastColumn="0" w:noHBand="0" w:noVBand="1"/>
      </w:tblPr>
      <w:tblGrid>
        <w:gridCol w:w="10456"/>
      </w:tblGrid>
      <w:tr w:rsidR="00C70490" w14:paraId="1DB180B5" w14:textId="77777777" w:rsidTr="00C70490">
        <w:tc>
          <w:tcPr>
            <w:tcW w:w="10456" w:type="dxa"/>
          </w:tcPr>
          <w:p w14:paraId="60BB6B7B" w14:textId="77777777" w:rsidR="00C70490" w:rsidRPr="00987EFB" w:rsidRDefault="00C70490" w:rsidP="00C70490">
            <w:pPr>
              <w:pStyle w:val="BodyText3"/>
              <w:spacing w:after="0"/>
              <w:rPr>
                <w:rFonts w:asciiTheme="minorHAnsi" w:hAnsiTheme="minorHAnsi" w:cstheme="minorHAnsi"/>
                <w:b/>
                <w:sz w:val="20"/>
                <w:szCs w:val="20"/>
              </w:rPr>
            </w:pPr>
            <w:r w:rsidRPr="00987EFB">
              <w:rPr>
                <w:rFonts w:asciiTheme="minorHAnsi" w:hAnsiTheme="minorHAnsi" w:cstheme="minorHAnsi"/>
                <w:b/>
                <w:sz w:val="20"/>
                <w:szCs w:val="20"/>
              </w:rPr>
              <w:t>Supplemental analgesia:</w:t>
            </w:r>
          </w:p>
          <w:p w14:paraId="1117463F" w14:textId="77777777" w:rsidR="00C70490" w:rsidRPr="00987EFB" w:rsidRDefault="00C70490" w:rsidP="00C70490">
            <w:pPr>
              <w:pStyle w:val="BodyText3"/>
              <w:spacing w:after="0"/>
              <w:rPr>
                <w:rFonts w:asciiTheme="minorHAnsi" w:hAnsiTheme="minorHAnsi" w:cstheme="minorHAnsi"/>
                <w:sz w:val="20"/>
                <w:szCs w:val="20"/>
              </w:rPr>
            </w:pPr>
            <w:bookmarkStart w:id="0" w:name="_Hlk116124052"/>
            <w:r w:rsidRPr="00987EFB">
              <w:rPr>
                <w:rFonts w:asciiTheme="minorHAnsi" w:hAnsiTheme="minorHAnsi" w:cstheme="minorHAnsi"/>
                <w:b/>
                <w:bCs/>
                <w:sz w:val="20"/>
                <w:szCs w:val="20"/>
              </w:rPr>
              <w:t>ADD</w:t>
            </w:r>
            <w:r w:rsidRPr="00987EFB">
              <w:rPr>
                <w:rFonts w:asciiTheme="minorHAnsi" w:hAnsiTheme="minorHAnsi" w:cstheme="minorHAnsi"/>
                <w:sz w:val="20"/>
                <w:szCs w:val="20"/>
              </w:rPr>
              <w:t xml:space="preserve"> an analgesia to any of the above regimens: </w:t>
            </w:r>
          </w:p>
          <w:p w14:paraId="44EE9C54" w14:textId="77777777" w:rsidR="00C70490" w:rsidRPr="00987EFB" w:rsidRDefault="00C70490" w:rsidP="00C70490">
            <w:pPr>
              <w:pStyle w:val="BodyText3"/>
              <w:numPr>
                <w:ilvl w:val="0"/>
                <w:numId w:val="46"/>
              </w:numPr>
              <w:spacing w:after="0"/>
              <w:rPr>
                <w:rFonts w:asciiTheme="minorHAnsi" w:hAnsiTheme="minorHAnsi" w:cstheme="minorHAnsi"/>
                <w:sz w:val="20"/>
                <w:szCs w:val="20"/>
              </w:rPr>
            </w:pPr>
            <w:r w:rsidRPr="00987EFB">
              <w:rPr>
                <w:rFonts w:asciiTheme="minorHAnsi" w:hAnsiTheme="minorHAnsi" w:cstheme="minorHAnsi"/>
                <w:sz w:val="20"/>
                <w:szCs w:val="20"/>
              </w:rPr>
              <w:t>Morphine, IV infusion, 0.1</w:t>
            </w:r>
            <w:r w:rsidRPr="00987EFB">
              <w:rPr>
                <w:rFonts w:asciiTheme="minorHAnsi" w:hAnsiTheme="minorHAnsi" w:cstheme="minorHAnsi"/>
                <w:bCs/>
                <w:color w:val="000000"/>
                <w:spacing w:val="-2"/>
                <w:sz w:val="20"/>
                <w:szCs w:val="20"/>
              </w:rPr>
              <w:t>–</w:t>
            </w:r>
            <w:r w:rsidRPr="00987EFB">
              <w:rPr>
                <w:rFonts w:asciiTheme="minorHAnsi" w:hAnsiTheme="minorHAnsi" w:cstheme="minorHAnsi"/>
                <w:sz w:val="20"/>
                <w:szCs w:val="20"/>
              </w:rPr>
              <w:t>0.2 mg/kg/hour.</w:t>
            </w:r>
          </w:p>
          <w:p w14:paraId="10F01A43" w14:textId="77777777" w:rsidR="00C70490" w:rsidRPr="00987EFB" w:rsidRDefault="00C70490" w:rsidP="00C70490">
            <w:pPr>
              <w:pStyle w:val="BodyText3"/>
              <w:spacing w:after="0"/>
              <w:rPr>
                <w:rFonts w:asciiTheme="minorHAnsi" w:hAnsiTheme="minorHAnsi" w:cstheme="minorHAnsi"/>
                <w:b/>
                <w:sz w:val="20"/>
                <w:szCs w:val="20"/>
              </w:rPr>
            </w:pPr>
            <w:r w:rsidRPr="00987EFB">
              <w:rPr>
                <w:rFonts w:asciiTheme="minorHAnsi" w:hAnsiTheme="minorHAnsi" w:cstheme="minorHAnsi"/>
                <w:b/>
                <w:sz w:val="20"/>
                <w:szCs w:val="20"/>
              </w:rPr>
              <w:t>OR</w:t>
            </w:r>
          </w:p>
          <w:p w14:paraId="662C2459" w14:textId="5A701AC0" w:rsidR="00C70490" w:rsidRPr="00987EFB" w:rsidRDefault="00C70490" w:rsidP="00C70490">
            <w:pPr>
              <w:pStyle w:val="BodyText3"/>
              <w:tabs>
                <w:tab w:val="left" w:pos="284"/>
              </w:tabs>
              <w:rPr>
                <w:rFonts w:asciiTheme="minorHAnsi" w:hAnsiTheme="minorHAnsi" w:cstheme="minorHAnsi"/>
                <w:sz w:val="20"/>
                <w:szCs w:val="20"/>
              </w:rPr>
            </w:pPr>
            <w:r w:rsidRPr="00987EFB">
              <w:rPr>
                <w:rFonts w:asciiTheme="minorHAnsi" w:hAnsiTheme="minorHAnsi" w:cstheme="minorHAnsi"/>
                <w:sz w:val="20"/>
                <w:szCs w:val="20"/>
              </w:rPr>
              <w:tab/>
              <w:t>Fentanyl, IV infusion, 1 mcg/kg/hour (also becomes long acting after prolonged infusion due to fat solubility).</w:t>
            </w:r>
          </w:p>
          <w:p w14:paraId="170C83A9" w14:textId="77777777" w:rsidR="00C70490" w:rsidRPr="00987EFB" w:rsidRDefault="00C70490" w:rsidP="00C70490">
            <w:pPr>
              <w:rPr>
                <w:rFonts w:cstheme="minorHAnsi"/>
                <w:b/>
                <w:bCs/>
                <w:sz w:val="20"/>
                <w:szCs w:val="20"/>
                <w:highlight w:val="yellow"/>
              </w:rPr>
            </w:pPr>
            <w:r w:rsidRPr="00987EFB">
              <w:rPr>
                <w:rFonts w:cstheme="minorHAnsi"/>
                <w:b/>
                <w:bCs/>
                <w:sz w:val="20"/>
                <w:szCs w:val="20"/>
                <w:highlight w:val="yellow"/>
              </w:rPr>
              <w:t>OR</w:t>
            </w:r>
          </w:p>
          <w:p w14:paraId="5623B7DF" w14:textId="19BF266C" w:rsidR="00C70490" w:rsidRPr="00987EFB" w:rsidRDefault="00C70490" w:rsidP="00C70490">
            <w:pPr>
              <w:tabs>
                <w:tab w:val="left" w:pos="284"/>
                <w:tab w:val="left" w:pos="630"/>
              </w:tabs>
              <w:contextualSpacing/>
              <w:rPr>
                <w:rFonts w:cstheme="minorHAnsi"/>
                <w:sz w:val="20"/>
                <w:szCs w:val="20"/>
                <w:highlight w:val="yellow"/>
              </w:rPr>
            </w:pPr>
            <w:r w:rsidRPr="00987EFB">
              <w:rPr>
                <w:rFonts w:cstheme="minorHAnsi"/>
                <w:sz w:val="20"/>
                <w:szCs w:val="20"/>
                <w:highlight w:val="yellow"/>
              </w:rPr>
              <w:tab/>
              <w:t>Ketamine, IV infusion, 0.5–1 mg/kg/hour.</w:t>
            </w:r>
          </w:p>
          <w:bookmarkEnd w:id="0"/>
          <w:p w14:paraId="3351B8CF" w14:textId="77777777" w:rsidR="00C70490" w:rsidRPr="00987EFB" w:rsidRDefault="00C70490" w:rsidP="00C70490">
            <w:pPr>
              <w:pStyle w:val="ListParagraph"/>
              <w:tabs>
                <w:tab w:val="left" w:pos="630"/>
              </w:tabs>
              <w:ind w:left="360"/>
              <w:rPr>
                <w:rFonts w:cstheme="minorHAnsi"/>
                <w:sz w:val="20"/>
                <w:szCs w:val="20"/>
                <w:highlight w:val="yellow"/>
              </w:rPr>
            </w:pPr>
          </w:p>
          <w:p w14:paraId="16E30131" w14:textId="7BEDA615" w:rsidR="00C70490" w:rsidRPr="00C70490" w:rsidRDefault="00C70490" w:rsidP="00C70490">
            <w:pPr>
              <w:tabs>
                <w:tab w:val="left" w:pos="630"/>
              </w:tabs>
              <w:jc w:val="both"/>
              <w:rPr>
                <w:rFonts w:ascii="Arial" w:hAnsi="Arial" w:cs="Arial"/>
                <w:sz w:val="18"/>
                <w:szCs w:val="18"/>
              </w:rPr>
            </w:pPr>
            <w:r w:rsidRPr="00987EFB">
              <w:rPr>
                <w:rFonts w:cstheme="minorHAnsi"/>
                <w:b/>
                <w:bCs/>
                <w:sz w:val="20"/>
                <w:szCs w:val="20"/>
                <w:highlight w:val="yellow"/>
              </w:rPr>
              <w:t>Note:</w:t>
            </w:r>
            <w:r w:rsidRPr="00987EFB">
              <w:rPr>
                <w:rFonts w:cstheme="minorHAnsi"/>
                <w:sz w:val="20"/>
                <w:szCs w:val="20"/>
                <w:highlight w:val="yellow"/>
              </w:rPr>
              <w:t xml:space="preserve"> </w:t>
            </w:r>
            <w:r w:rsidRPr="00987EFB">
              <w:rPr>
                <w:rFonts w:cstheme="minorHAnsi"/>
                <w:b/>
                <w:bCs/>
                <w:sz w:val="20"/>
                <w:szCs w:val="20"/>
                <w:highlight w:val="yellow"/>
              </w:rPr>
              <w:t>If haemodynamically unstable, use adjunctive ketamine for analgosedation.</w:t>
            </w:r>
            <w:r w:rsidRPr="00987EFB">
              <w:rPr>
                <w:rFonts w:ascii="Arial" w:hAnsi="Arial" w:cs="Arial"/>
                <w:sz w:val="20"/>
                <w:szCs w:val="20"/>
              </w:rPr>
              <w:t xml:space="preserve"> </w:t>
            </w:r>
          </w:p>
        </w:tc>
      </w:tr>
    </w:tbl>
    <w:p w14:paraId="40A3B0F7" w14:textId="000915F1" w:rsidR="00C70490" w:rsidRDefault="00C70490" w:rsidP="007B1B30">
      <w:pPr>
        <w:spacing w:after="0" w:line="240" w:lineRule="auto"/>
        <w:jc w:val="both"/>
        <w:rPr>
          <w:rFonts w:ascii="Calibri" w:eastAsia="Calibri" w:hAnsi="Calibri" w:cs="Calibri"/>
          <w:bCs/>
          <w:szCs w:val="10"/>
          <w:lang w:val="en-ZA"/>
        </w:rPr>
      </w:pPr>
    </w:p>
    <w:p w14:paraId="779B5BB2" w14:textId="77777777" w:rsidR="00C45E49" w:rsidRDefault="00C45E49" w:rsidP="007B1B30">
      <w:pPr>
        <w:spacing w:after="0" w:line="240" w:lineRule="auto"/>
        <w:jc w:val="both"/>
        <w:rPr>
          <w:rFonts w:ascii="Calibri" w:eastAsia="Calibri" w:hAnsi="Calibri" w:cs="Calibri"/>
          <w:bCs/>
          <w:szCs w:val="10"/>
          <w:lang w:val="en-ZA"/>
        </w:rPr>
      </w:pPr>
    </w:p>
    <w:p w14:paraId="1534D061" w14:textId="2559B599" w:rsidR="00C70490" w:rsidRDefault="00C70490" w:rsidP="007B1B30">
      <w:pPr>
        <w:spacing w:after="0" w:line="240" w:lineRule="auto"/>
        <w:jc w:val="both"/>
        <w:rPr>
          <w:rFonts w:ascii="Calibri" w:eastAsia="Calibri" w:hAnsi="Calibri" w:cs="Calibri"/>
          <w:bCs/>
          <w:szCs w:val="10"/>
          <w:lang w:val="en-ZA"/>
        </w:rPr>
      </w:pPr>
      <w:r>
        <w:rPr>
          <w:rFonts w:ascii="Calibri" w:eastAsia="Calibri" w:hAnsi="Calibri" w:cs="Calibri"/>
          <w:bCs/>
          <w:szCs w:val="10"/>
          <w:lang w:val="en-ZA"/>
        </w:rPr>
        <w:t>Refer to the medicine review for ketamine as monotherapy and adjunctive therapy for analgosedation:</w:t>
      </w:r>
    </w:p>
    <w:bookmarkStart w:id="1" w:name="_MON_1728018110"/>
    <w:bookmarkEnd w:id="1"/>
    <w:p w14:paraId="7D987DED" w14:textId="51BF9590" w:rsidR="00C70490" w:rsidRDefault="00454591" w:rsidP="007B1B30">
      <w:pPr>
        <w:spacing w:after="0" w:line="240" w:lineRule="auto"/>
        <w:jc w:val="both"/>
        <w:rPr>
          <w:rFonts w:ascii="Calibri" w:eastAsia="Calibri" w:hAnsi="Calibri" w:cs="Calibri"/>
          <w:bCs/>
          <w:szCs w:val="10"/>
          <w:lang w:val="en-ZA"/>
        </w:rPr>
      </w:pPr>
      <w:r>
        <w:rPr>
          <w:rFonts w:ascii="Calibri" w:eastAsia="Calibri" w:hAnsi="Calibri" w:cs="Calibri"/>
          <w:bCs/>
          <w:szCs w:val="10"/>
          <w:lang w:val="en-ZA"/>
        </w:rPr>
        <w:object w:dxaOrig="1520" w:dyaOrig="985" w14:anchorId="3DD98A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76.2pt;height:49.2pt" o:ole="">
            <v:imagedata r:id="rId8" o:title=""/>
          </v:shape>
          <o:OLEObject Type="Embed" ProgID="Word.Document.12" ShapeID="_x0000_i1044" DrawAspect="Icon" ObjectID="_1728018817" r:id="rId9">
            <o:FieldCodes>\s</o:FieldCodes>
          </o:OLEObject>
        </w:object>
      </w:r>
    </w:p>
    <w:p w14:paraId="78949913" w14:textId="77777777" w:rsidR="000E639D" w:rsidRDefault="000E639D" w:rsidP="000E639D">
      <w:pPr>
        <w:spacing w:after="0" w:line="240" w:lineRule="auto"/>
        <w:jc w:val="both"/>
      </w:pPr>
      <w:r w:rsidRPr="69CE658C">
        <w:rPr>
          <w:b/>
          <w:bCs/>
          <w:spacing w:val="-2"/>
        </w:rPr>
        <w:t xml:space="preserve">Recommendation: </w:t>
      </w:r>
      <w:r w:rsidRPr="69CE658C">
        <w:rPr>
          <w:spacing w:val="-2"/>
        </w:rPr>
        <w:t>The PHC/Adult Hospital Level Committee suggest</w:t>
      </w:r>
      <w:r>
        <w:rPr>
          <w:spacing w:val="-2"/>
        </w:rPr>
        <w:t>s</w:t>
      </w:r>
      <w:r w:rsidRPr="69CE658C">
        <w:rPr>
          <w:spacing w:val="-2"/>
        </w:rPr>
        <w:t xml:space="preserve"> </w:t>
      </w:r>
      <w:r>
        <w:rPr>
          <w:spacing w:val="-2"/>
        </w:rPr>
        <w:t>the</w:t>
      </w:r>
      <w:r w:rsidRPr="69CE658C">
        <w:rPr>
          <w:spacing w:val="-2"/>
        </w:rPr>
        <w:t xml:space="preserve"> use</w:t>
      </w:r>
      <w:r>
        <w:rPr>
          <w:spacing w:val="-2"/>
        </w:rPr>
        <w:t xml:space="preserve"> of</w:t>
      </w:r>
      <w:r w:rsidRPr="69CE658C">
        <w:rPr>
          <w:spacing w:val="-2"/>
        </w:rPr>
        <w:t xml:space="preserve"> </w:t>
      </w:r>
      <w:r>
        <w:rPr>
          <w:spacing w:val="-2"/>
        </w:rPr>
        <w:t>adjunctive ketamine</w:t>
      </w:r>
      <w:r w:rsidRPr="69CE658C">
        <w:rPr>
          <w:spacing w:val="-2"/>
        </w:rPr>
        <w:t xml:space="preserve"> for postintubation sedation in </w:t>
      </w:r>
      <w:r>
        <w:t>intubated adults with trauma on mechanical ventilation (conditional recommendation, low certainty of evidence.</w:t>
      </w:r>
    </w:p>
    <w:p w14:paraId="77C16689" w14:textId="77777777" w:rsidR="000E639D" w:rsidRDefault="000E639D" w:rsidP="000E639D">
      <w:pPr>
        <w:spacing w:after="0" w:line="240" w:lineRule="auto"/>
        <w:jc w:val="both"/>
      </w:pPr>
      <w:r>
        <w:t>The PHC/Adult Hospital Level Committee suggests not to use ketamine as monotherapy for postintubation sedation in intubated adults with trauma on mechanical ventilation (conditional recommendation, very low certainty of evidence).</w:t>
      </w:r>
    </w:p>
    <w:p w14:paraId="5660E7EE" w14:textId="77777777" w:rsidR="000E639D" w:rsidRPr="006D739D" w:rsidRDefault="000E639D" w:rsidP="000E639D">
      <w:pPr>
        <w:spacing w:after="0" w:line="240" w:lineRule="auto"/>
        <w:jc w:val="both"/>
      </w:pPr>
      <w:r w:rsidRPr="76C22126">
        <w:rPr>
          <w:i/>
          <w:iCs/>
        </w:rPr>
        <w:t>Rationale:</w:t>
      </w:r>
      <w:r>
        <w:t xml:space="preserve"> Ketamine may have benefit as adjunctive therapy but there is uncertainty for benefit and harms as monotherapy. </w:t>
      </w:r>
    </w:p>
    <w:p w14:paraId="5EAE894C" w14:textId="77777777" w:rsidR="000E639D" w:rsidRPr="009523FE" w:rsidRDefault="000E639D" w:rsidP="000E639D">
      <w:pPr>
        <w:spacing w:after="0" w:line="240" w:lineRule="auto"/>
      </w:pPr>
      <w:r w:rsidRPr="69CE658C">
        <w:rPr>
          <w:b/>
          <w:bCs/>
          <w:spacing w:val="-2"/>
        </w:rPr>
        <w:t>Level of Evidence:</w:t>
      </w:r>
      <w:r w:rsidRPr="69CE658C">
        <w:rPr>
          <w:b/>
          <w:bCs/>
        </w:rPr>
        <w:t xml:space="preserve"> </w:t>
      </w:r>
      <w:r w:rsidRPr="69CE658C">
        <w:t>Low certainty of evidence (adjunctive), very low certainty (monotherapy)</w:t>
      </w:r>
    </w:p>
    <w:p w14:paraId="72DD3C6A" w14:textId="68D621C4" w:rsidR="000E639D" w:rsidRDefault="000E639D" w:rsidP="000E639D">
      <w:pPr>
        <w:spacing w:after="0" w:line="240" w:lineRule="auto"/>
        <w:jc w:val="both"/>
        <w:rPr>
          <w:rFonts w:ascii="Calibri" w:eastAsia="Calibri" w:hAnsi="Calibri" w:cs="Calibri"/>
          <w:bCs/>
          <w:szCs w:val="10"/>
          <w:lang w:val="en-ZA"/>
        </w:rPr>
      </w:pPr>
      <w:r w:rsidRPr="76C22126">
        <w:rPr>
          <w:b/>
          <w:bCs/>
        </w:rPr>
        <w:t xml:space="preserve">Review indicator: </w:t>
      </w:r>
      <w:r>
        <w:t>New high-quality evidence of a clinically relevant benefit or harm</w:t>
      </w:r>
    </w:p>
    <w:p w14:paraId="7D035F20" w14:textId="699D51DB" w:rsidR="00C70490" w:rsidRDefault="00C70490" w:rsidP="007B1B30">
      <w:pPr>
        <w:spacing w:after="0" w:line="240" w:lineRule="auto"/>
        <w:jc w:val="both"/>
        <w:rPr>
          <w:rFonts w:ascii="Calibri" w:eastAsia="Calibri" w:hAnsi="Calibri" w:cs="Calibri"/>
          <w:bCs/>
          <w:szCs w:val="10"/>
          <w:lang w:val="en-ZA"/>
        </w:rPr>
      </w:pPr>
    </w:p>
    <w:p w14:paraId="7277FF85" w14:textId="77777777" w:rsidR="000E639D" w:rsidRDefault="000E639D" w:rsidP="008A6F6A">
      <w:pPr>
        <w:spacing w:after="0" w:line="240" w:lineRule="auto"/>
        <w:jc w:val="both"/>
        <w:rPr>
          <w:rFonts w:ascii="Calibri" w:eastAsia="Calibri" w:hAnsi="Calibri" w:cs="Calibri"/>
          <w:b/>
          <w:szCs w:val="10"/>
          <w:lang w:val="en-GB" w:eastAsia="ar-SA"/>
        </w:rPr>
        <w:sectPr w:rsidR="000E639D" w:rsidSect="009B4DF7">
          <w:headerReference w:type="default" r:id="rId10"/>
          <w:footerReference w:type="default" r:id="rId11"/>
          <w:pgSz w:w="11906" w:h="16838"/>
          <w:pgMar w:top="720" w:right="720" w:bottom="720" w:left="720" w:header="708" w:footer="708" w:gutter="0"/>
          <w:cols w:space="708"/>
          <w:docGrid w:linePitch="360"/>
        </w:sectPr>
      </w:pPr>
    </w:p>
    <w:p w14:paraId="06E17693" w14:textId="760455CD" w:rsidR="00C3215A" w:rsidRPr="004255DB" w:rsidRDefault="00E42740" w:rsidP="008A6F6A">
      <w:pPr>
        <w:spacing w:after="0" w:line="240" w:lineRule="auto"/>
        <w:jc w:val="both"/>
        <w:rPr>
          <w:rFonts w:cstheme="minorHAnsi"/>
          <w:b/>
          <w:lang w:val="en-GB" w:eastAsia="ar-SA"/>
        </w:rPr>
      </w:pPr>
      <w:r>
        <w:rPr>
          <w:rFonts w:ascii="Calibri" w:eastAsia="Calibri" w:hAnsi="Calibri" w:cs="Calibri"/>
          <w:b/>
          <w:szCs w:val="10"/>
          <w:lang w:val="en-GB" w:eastAsia="ar-SA"/>
        </w:rPr>
        <w:lastRenderedPageBreak/>
        <w:t xml:space="preserve">B: </w:t>
      </w:r>
      <w:r w:rsidR="00C3215A">
        <w:rPr>
          <w:rFonts w:cstheme="minorHAnsi"/>
          <w:b/>
          <w:lang w:val="en-GB" w:eastAsia="ar-SA"/>
        </w:rPr>
        <w:t>PROPOSED AMENDMENTS</w:t>
      </w:r>
    </w:p>
    <w:tbl>
      <w:tblPr>
        <w:tblStyle w:val="TableGrid4"/>
        <w:tblW w:w="5000" w:type="pct"/>
        <w:tblLook w:val="04A0" w:firstRow="1" w:lastRow="0" w:firstColumn="1" w:lastColumn="0" w:noHBand="0" w:noVBand="1"/>
      </w:tblPr>
      <w:tblGrid>
        <w:gridCol w:w="3277"/>
        <w:gridCol w:w="3660"/>
        <w:gridCol w:w="3513"/>
        <w:gridCol w:w="6"/>
      </w:tblGrid>
      <w:tr w:rsidR="0006500A" w:rsidRPr="002841F6" w14:paraId="25D50F27" w14:textId="77777777" w:rsidTr="00CC4159">
        <w:trPr>
          <w:trHeight w:val="143"/>
        </w:trPr>
        <w:tc>
          <w:tcPr>
            <w:tcW w:w="1567" w:type="pct"/>
            <w:shd w:val="clear" w:color="auto" w:fill="DDD9C3"/>
          </w:tcPr>
          <w:p w14:paraId="3A10427F" w14:textId="77777777" w:rsidR="0006500A" w:rsidRPr="002841F6" w:rsidRDefault="0006500A" w:rsidP="00175090">
            <w:pPr>
              <w:spacing w:after="160" w:line="259" w:lineRule="auto"/>
              <w:jc w:val="both"/>
              <w:rPr>
                <w:rFonts w:asciiTheme="minorHAnsi" w:hAnsiTheme="minorHAnsi" w:cstheme="minorHAnsi"/>
                <w:b/>
                <w:sz w:val="18"/>
                <w:szCs w:val="18"/>
              </w:rPr>
            </w:pPr>
            <w:r w:rsidRPr="002841F6">
              <w:rPr>
                <w:rFonts w:asciiTheme="minorHAnsi" w:hAnsiTheme="minorHAnsi" w:cstheme="minorHAnsi"/>
                <w:b/>
                <w:sz w:val="18"/>
                <w:szCs w:val="18"/>
              </w:rPr>
              <w:t>SECTION</w:t>
            </w:r>
          </w:p>
        </w:tc>
        <w:tc>
          <w:tcPr>
            <w:tcW w:w="1750" w:type="pct"/>
            <w:shd w:val="clear" w:color="auto" w:fill="DDD9C3"/>
          </w:tcPr>
          <w:p w14:paraId="1CD3E4E5" w14:textId="77777777" w:rsidR="0006500A" w:rsidRPr="002841F6" w:rsidRDefault="0006500A" w:rsidP="00175090">
            <w:pPr>
              <w:spacing w:after="160" w:line="259" w:lineRule="auto"/>
              <w:jc w:val="both"/>
              <w:rPr>
                <w:rFonts w:asciiTheme="minorHAnsi" w:hAnsiTheme="minorHAnsi" w:cstheme="minorHAnsi"/>
                <w:b/>
                <w:sz w:val="18"/>
                <w:szCs w:val="18"/>
              </w:rPr>
            </w:pPr>
            <w:r w:rsidRPr="002841F6">
              <w:rPr>
                <w:rFonts w:asciiTheme="minorHAnsi" w:hAnsiTheme="minorHAnsi" w:cstheme="minorHAnsi"/>
                <w:b/>
                <w:sz w:val="18"/>
                <w:szCs w:val="18"/>
              </w:rPr>
              <w:t>MEDICINE</w:t>
            </w:r>
            <w:r>
              <w:rPr>
                <w:rFonts w:asciiTheme="minorHAnsi" w:hAnsiTheme="minorHAnsi" w:cstheme="minorHAnsi"/>
                <w:b/>
                <w:sz w:val="18"/>
                <w:szCs w:val="18"/>
              </w:rPr>
              <w:t>/ MANAGEMENT</w:t>
            </w:r>
          </w:p>
        </w:tc>
        <w:tc>
          <w:tcPr>
            <w:tcW w:w="1683" w:type="pct"/>
            <w:gridSpan w:val="2"/>
            <w:shd w:val="clear" w:color="auto" w:fill="DDD9C3"/>
          </w:tcPr>
          <w:p w14:paraId="0800E81B" w14:textId="77777777" w:rsidR="0006500A" w:rsidRPr="002841F6" w:rsidRDefault="0006500A" w:rsidP="00175090">
            <w:pPr>
              <w:jc w:val="both"/>
              <w:rPr>
                <w:rFonts w:asciiTheme="minorHAnsi" w:hAnsiTheme="minorHAnsi" w:cstheme="minorHAnsi"/>
                <w:b/>
                <w:sz w:val="18"/>
                <w:szCs w:val="18"/>
              </w:rPr>
            </w:pPr>
            <w:r w:rsidRPr="002841F6">
              <w:rPr>
                <w:rFonts w:asciiTheme="minorHAnsi" w:hAnsiTheme="minorHAnsi" w:cstheme="minorHAnsi"/>
                <w:b/>
                <w:sz w:val="18"/>
                <w:szCs w:val="18"/>
              </w:rPr>
              <w:t>ADDED/DELETED/AMENDED</w:t>
            </w:r>
            <w:r>
              <w:rPr>
                <w:rFonts w:asciiTheme="minorHAnsi" w:hAnsiTheme="minorHAnsi" w:cstheme="minorHAnsi"/>
                <w:b/>
                <w:sz w:val="18"/>
                <w:szCs w:val="18"/>
              </w:rPr>
              <w:t>/NOT ADDED/ RETAINED</w:t>
            </w:r>
          </w:p>
        </w:tc>
      </w:tr>
      <w:tr w:rsidR="00C323C0" w:rsidRPr="00AF6865" w14:paraId="386BE11F" w14:textId="77777777" w:rsidTr="00F14C59">
        <w:tc>
          <w:tcPr>
            <w:tcW w:w="5000" w:type="pct"/>
            <w:gridSpan w:val="4"/>
            <w:shd w:val="clear" w:color="auto" w:fill="E7E6E6" w:themeFill="background2"/>
          </w:tcPr>
          <w:p w14:paraId="41CB89A2" w14:textId="06025080" w:rsidR="00C323C0" w:rsidRPr="003F14C9" w:rsidRDefault="00C323C0" w:rsidP="003F14C9">
            <w:pPr>
              <w:pStyle w:val="ListParagraph"/>
              <w:numPr>
                <w:ilvl w:val="0"/>
                <w:numId w:val="40"/>
              </w:numPr>
              <w:jc w:val="both"/>
              <w:rPr>
                <w:rFonts w:cstheme="minorHAnsi"/>
                <w:i/>
                <w:iCs/>
                <w:sz w:val="18"/>
                <w:szCs w:val="18"/>
                <w:lang w:val="en-GB" w:eastAsia="ar-SA"/>
              </w:rPr>
            </w:pPr>
            <w:r w:rsidRPr="003F14C9">
              <w:rPr>
                <w:rFonts w:cstheme="minorHAnsi"/>
                <w:b/>
                <w:i/>
                <w:iCs/>
                <w:spacing w:val="-4"/>
                <w:sz w:val="18"/>
                <w:szCs w:val="18"/>
              </w:rPr>
              <w:t>Cardiopulmonary resuscitation</w:t>
            </w:r>
          </w:p>
        </w:tc>
      </w:tr>
      <w:tr w:rsidR="0006500A" w:rsidRPr="00AF6865" w14:paraId="56CBB5C8" w14:textId="77777777" w:rsidTr="00CC4159">
        <w:tc>
          <w:tcPr>
            <w:tcW w:w="1567" w:type="pct"/>
          </w:tcPr>
          <w:p w14:paraId="79B31F9C" w14:textId="2CB67370" w:rsidR="0006500A" w:rsidRPr="00AF6865" w:rsidRDefault="00C323C0" w:rsidP="00175090">
            <w:pPr>
              <w:rPr>
                <w:rFonts w:cstheme="minorHAnsi"/>
                <w:b/>
                <w:spacing w:val="-4"/>
                <w:sz w:val="18"/>
                <w:szCs w:val="18"/>
              </w:rPr>
            </w:pPr>
            <w:r>
              <w:rPr>
                <w:rFonts w:cstheme="minorHAnsi"/>
                <w:b/>
                <w:spacing w:val="-4"/>
                <w:sz w:val="18"/>
                <w:szCs w:val="18"/>
              </w:rPr>
              <w:t>CPR Algorithms</w:t>
            </w:r>
          </w:p>
        </w:tc>
        <w:tc>
          <w:tcPr>
            <w:tcW w:w="1750" w:type="pct"/>
          </w:tcPr>
          <w:p w14:paraId="67D098B5" w14:textId="77777777" w:rsidR="0006500A" w:rsidRPr="00AF6865" w:rsidRDefault="0006500A" w:rsidP="00175090">
            <w:pPr>
              <w:jc w:val="both"/>
              <w:rPr>
                <w:rFonts w:cstheme="minorHAnsi"/>
                <w:sz w:val="18"/>
                <w:szCs w:val="18"/>
                <w:lang w:val="en-GB"/>
              </w:rPr>
            </w:pPr>
            <w:r w:rsidRPr="00AF6865">
              <w:rPr>
                <w:rFonts w:cstheme="minorHAnsi"/>
                <w:sz w:val="18"/>
                <w:szCs w:val="18"/>
                <w:lang w:val="en-GB"/>
              </w:rPr>
              <w:t>Cardiac arrest algorithm for suspected communicable diseases</w:t>
            </w:r>
          </w:p>
        </w:tc>
        <w:tc>
          <w:tcPr>
            <w:tcW w:w="1683" w:type="pct"/>
            <w:gridSpan w:val="2"/>
          </w:tcPr>
          <w:p w14:paraId="487F4D77" w14:textId="77777777" w:rsidR="0006500A" w:rsidRPr="00AF6865" w:rsidRDefault="0006500A" w:rsidP="00175090">
            <w:pPr>
              <w:jc w:val="both"/>
              <w:rPr>
                <w:rFonts w:cstheme="minorHAnsi"/>
                <w:sz w:val="18"/>
                <w:szCs w:val="18"/>
                <w:lang w:val="en-GB" w:eastAsia="ar-SA"/>
              </w:rPr>
            </w:pPr>
            <w:r w:rsidRPr="00AF6865">
              <w:rPr>
                <w:rFonts w:cstheme="minorHAnsi"/>
                <w:sz w:val="18"/>
                <w:szCs w:val="18"/>
                <w:lang w:val="en-GB" w:eastAsia="ar-SA"/>
              </w:rPr>
              <w:t>Added</w:t>
            </w:r>
          </w:p>
        </w:tc>
      </w:tr>
      <w:tr w:rsidR="00F36A37" w:rsidRPr="00AF6865" w14:paraId="3A039439" w14:textId="77777777" w:rsidTr="00CC4159">
        <w:tc>
          <w:tcPr>
            <w:tcW w:w="1567" w:type="pct"/>
          </w:tcPr>
          <w:p w14:paraId="65BF4077" w14:textId="34B24D96" w:rsidR="00F36A37" w:rsidRPr="00AF6865" w:rsidRDefault="00AF6865" w:rsidP="00175090">
            <w:pPr>
              <w:rPr>
                <w:rFonts w:cstheme="minorHAnsi"/>
                <w:b/>
                <w:spacing w:val="-4"/>
                <w:sz w:val="18"/>
                <w:szCs w:val="18"/>
              </w:rPr>
            </w:pPr>
            <w:r w:rsidRPr="00AF6865">
              <w:rPr>
                <w:rFonts w:cstheme="minorHAnsi"/>
                <w:b/>
                <w:spacing w:val="-4"/>
                <w:sz w:val="18"/>
                <w:szCs w:val="18"/>
              </w:rPr>
              <w:t>20.1 Cardiac arrest in adults</w:t>
            </w:r>
            <w:r w:rsidR="00F36A37" w:rsidRPr="00AF6865">
              <w:rPr>
                <w:rFonts w:cstheme="minorHAnsi"/>
                <w:b/>
                <w:spacing w:val="-4"/>
                <w:sz w:val="18"/>
                <w:szCs w:val="18"/>
              </w:rPr>
              <w:t xml:space="preserve"> </w:t>
            </w:r>
          </w:p>
        </w:tc>
        <w:tc>
          <w:tcPr>
            <w:tcW w:w="1750" w:type="pct"/>
          </w:tcPr>
          <w:p w14:paraId="7518F057" w14:textId="6F47B36F" w:rsidR="00F36A37" w:rsidRPr="00AF6865" w:rsidRDefault="00AF6865" w:rsidP="00175090">
            <w:pPr>
              <w:jc w:val="both"/>
              <w:rPr>
                <w:bCs/>
                <w:i/>
                <w:sz w:val="18"/>
                <w:szCs w:val="18"/>
                <w:lang w:val="en-GB"/>
              </w:rPr>
            </w:pPr>
            <w:r w:rsidRPr="00AF6865">
              <w:rPr>
                <w:rFonts w:cstheme="minorHAnsi"/>
                <w:bCs/>
                <w:spacing w:val="-4"/>
                <w:sz w:val="18"/>
                <w:szCs w:val="18"/>
              </w:rPr>
              <w:t>COVID-19 considerations</w:t>
            </w:r>
            <w:r w:rsidRPr="00AF6865">
              <w:rPr>
                <w:bCs/>
                <w:sz w:val="18"/>
                <w:szCs w:val="18"/>
                <w:lang w:val="en-GB"/>
              </w:rPr>
              <w:t xml:space="preserve"> guidance</w:t>
            </w:r>
          </w:p>
        </w:tc>
        <w:tc>
          <w:tcPr>
            <w:tcW w:w="1683" w:type="pct"/>
            <w:gridSpan w:val="2"/>
          </w:tcPr>
          <w:p w14:paraId="58C93503" w14:textId="77777777" w:rsidR="00F36A37" w:rsidRPr="00AF6865" w:rsidRDefault="00F36A37" w:rsidP="00175090">
            <w:pPr>
              <w:jc w:val="both"/>
              <w:rPr>
                <w:rFonts w:cstheme="minorHAnsi"/>
                <w:bCs/>
                <w:sz w:val="18"/>
                <w:szCs w:val="18"/>
                <w:lang w:val="en-GB" w:eastAsia="ar-SA"/>
              </w:rPr>
            </w:pPr>
            <w:r w:rsidRPr="00AF6865">
              <w:rPr>
                <w:rFonts w:cstheme="minorHAnsi"/>
                <w:bCs/>
                <w:sz w:val="18"/>
                <w:szCs w:val="18"/>
                <w:lang w:val="en-GB" w:eastAsia="ar-SA"/>
              </w:rPr>
              <w:t>Added</w:t>
            </w:r>
          </w:p>
        </w:tc>
      </w:tr>
      <w:tr w:rsidR="00426F51" w:rsidRPr="007966C6" w14:paraId="20A4DA60" w14:textId="77777777" w:rsidTr="00CC4159">
        <w:tc>
          <w:tcPr>
            <w:tcW w:w="1567" w:type="pct"/>
          </w:tcPr>
          <w:p w14:paraId="00E3D339" w14:textId="5ADF71D1" w:rsidR="00426F51" w:rsidRPr="00426F51" w:rsidRDefault="00426F51" w:rsidP="00227C1A">
            <w:pPr>
              <w:rPr>
                <w:rFonts w:cstheme="minorHAnsi"/>
                <w:bCs/>
                <w:i/>
                <w:iCs/>
                <w:spacing w:val="-4"/>
                <w:sz w:val="18"/>
                <w:szCs w:val="18"/>
              </w:rPr>
            </w:pPr>
            <w:r>
              <w:rPr>
                <w:rFonts w:cstheme="minorHAnsi"/>
                <w:bCs/>
                <w:i/>
                <w:iCs/>
                <w:spacing w:val="-4"/>
                <w:sz w:val="18"/>
                <w:szCs w:val="18"/>
              </w:rPr>
              <w:t>- Emergency treatment</w:t>
            </w:r>
          </w:p>
        </w:tc>
        <w:tc>
          <w:tcPr>
            <w:tcW w:w="1750" w:type="pct"/>
          </w:tcPr>
          <w:p w14:paraId="3F2AD812" w14:textId="3340A4BE" w:rsidR="00426F51" w:rsidRDefault="00426F51" w:rsidP="00227C1A">
            <w:pPr>
              <w:jc w:val="both"/>
              <w:rPr>
                <w:rFonts w:cstheme="minorHAnsi"/>
                <w:sz w:val="18"/>
                <w:szCs w:val="18"/>
                <w:lang w:val="en-GB"/>
              </w:rPr>
            </w:pPr>
            <w:r w:rsidRPr="00426F51">
              <w:rPr>
                <w:rFonts w:cstheme="minorHAnsi"/>
                <w:sz w:val="18"/>
                <w:szCs w:val="18"/>
                <w:lang w:val="en-GB"/>
              </w:rPr>
              <w:t>Precordial thump</w:t>
            </w:r>
          </w:p>
        </w:tc>
        <w:tc>
          <w:tcPr>
            <w:tcW w:w="1683" w:type="pct"/>
            <w:gridSpan w:val="2"/>
          </w:tcPr>
          <w:p w14:paraId="69B00461" w14:textId="5647895C" w:rsidR="00426F51" w:rsidRDefault="00426F51" w:rsidP="00227C1A">
            <w:pPr>
              <w:jc w:val="both"/>
              <w:rPr>
                <w:rFonts w:cstheme="minorHAnsi"/>
                <w:sz w:val="18"/>
                <w:szCs w:val="18"/>
                <w:lang w:val="en-GB"/>
              </w:rPr>
            </w:pPr>
            <w:r>
              <w:rPr>
                <w:rFonts w:cstheme="minorHAnsi"/>
                <w:sz w:val="18"/>
                <w:szCs w:val="18"/>
                <w:lang w:val="en-GB"/>
              </w:rPr>
              <w:t>D</w:t>
            </w:r>
            <w:r w:rsidRPr="00426F51">
              <w:rPr>
                <w:rFonts w:cstheme="minorHAnsi"/>
                <w:sz w:val="18"/>
                <w:szCs w:val="18"/>
                <w:lang w:val="en-GB"/>
              </w:rPr>
              <w:t>eleted</w:t>
            </w:r>
          </w:p>
        </w:tc>
      </w:tr>
      <w:tr w:rsidR="00227C1A" w:rsidRPr="007966C6" w14:paraId="66B73A8E" w14:textId="77777777" w:rsidTr="00CC4159">
        <w:tc>
          <w:tcPr>
            <w:tcW w:w="1567" w:type="pct"/>
          </w:tcPr>
          <w:p w14:paraId="51386DEA" w14:textId="4BE261CA" w:rsidR="00227C1A" w:rsidRDefault="00227C1A" w:rsidP="00227C1A">
            <w:pPr>
              <w:rPr>
                <w:rFonts w:cstheme="minorHAnsi"/>
                <w:b/>
                <w:spacing w:val="-4"/>
                <w:sz w:val="18"/>
                <w:szCs w:val="18"/>
              </w:rPr>
            </w:pPr>
            <w:r>
              <w:rPr>
                <w:rFonts w:cstheme="minorHAnsi"/>
                <w:b/>
                <w:spacing w:val="-4"/>
                <w:sz w:val="18"/>
                <w:szCs w:val="18"/>
              </w:rPr>
              <w:t xml:space="preserve">- </w:t>
            </w:r>
            <w:r w:rsidRPr="00A46C88">
              <w:rPr>
                <w:rFonts w:cstheme="minorHAnsi"/>
                <w:bCs/>
                <w:i/>
                <w:iCs/>
                <w:spacing w:val="-4"/>
                <w:sz w:val="18"/>
                <w:szCs w:val="18"/>
              </w:rPr>
              <w:t>Initiate fluids, IV/IO access</w:t>
            </w:r>
          </w:p>
        </w:tc>
        <w:tc>
          <w:tcPr>
            <w:tcW w:w="1750" w:type="pct"/>
          </w:tcPr>
          <w:p w14:paraId="7CDD7AC7" w14:textId="46CE6118" w:rsidR="00227C1A" w:rsidRPr="00AF6865" w:rsidRDefault="00227C1A" w:rsidP="00227C1A">
            <w:pPr>
              <w:jc w:val="both"/>
              <w:rPr>
                <w:rFonts w:cstheme="minorHAnsi"/>
                <w:sz w:val="18"/>
                <w:szCs w:val="18"/>
                <w:lang w:val="en-GB"/>
              </w:rPr>
            </w:pPr>
            <w:r>
              <w:rPr>
                <w:rFonts w:cstheme="minorHAnsi"/>
                <w:sz w:val="18"/>
                <w:szCs w:val="18"/>
                <w:lang w:val="en-GB"/>
              </w:rPr>
              <w:t>Sodium chloride 0.9%, parenteral</w:t>
            </w:r>
          </w:p>
        </w:tc>
        <w:tc>
          <w:tcPr>
            <w:tcW w:w="1683" w:type="pct"/>
            <w:gridSpan w:val="2"/>
          </w:tcPr>
          <w:p w14:paraId="57BC1D27" w14:textId="766F9FF8" w:rsidR="00227C1A" w:rsidRPr="00AF6865" w:rsidRDefault="00227C1A" w:rsidP="00227C1A">
            <w:pPr>
              <w:jc w:val="both"/>
              <w:rPr>
                <w:rFonts w:cstheme="minorHAnsi"/>
                <w:sz w:val="18"/>
                <w:szCs w:val="18"/>
                <w:lang w:val="en-GB"/>
              </w:rPr>
            </w:pPr>
            <w:r>
              <w:rPr>
                <w:rFonts w:cstheme="minorHAnsi"/>
                <w:sz w:val="18"/>
                <w:szCs w:val="18"/>
                <w:lang w:val="en-GB"/>
              </w:rPr>
              <w:t>Amended (directions for use added)</w:t>
            </w:r>
          </w:p>
        </w:tc>
      </w:tr>
      <w:tr w:rsidR="00AF6865" w:rsidRPr="007966C6" w14:paraId="600C7E17" w14:textId="77777777" w:rsidTr="00CC4159">
        <w:tc>
          <w:tcPr>
            <w:tcW w:w="1567" w:type="pct"/>
          </w:tcPr>
          <w:p w14:paraId="61F6AD55" w14:textId="50E0D108" w:rsidR="00AF6865" w:rsidRDefault="00AF6865" w:rsidP="00AF6865">
            <w:pPr>
              <w:rPr>
                <w:rFonts w:cstheme="minorHAnsi"/>
                <w:b/>
                <w:spacing w:val="-4"/>
                <w:sz w:val="18"/>
                <w:szCs w:val="18"/>
              </w:rPr>
            </w:pPr>
            <w:r>
              <w:rPr>
                <w:rFonts w:cstheme="minorHAnsi"/>
                <w:b/>
                <w:spacing w:val="-4"/>
                <w:sz w:val="18"/>
                <w:szCs w:val="18"/>
              </w:rPr>
              <w:t xml:space="preserve">- </w:t>
            </w:r>
            <w:r w:rsidRPr="00AF6865">
              <w:rPr>
                <w:rFonts w:cstheme="minorHAnsi"/>
                <w:i/>
                <w:spacing w:val="-4"/>
                <w:sz w:val="18"/>
                <w:szCs w:val="18"/>
              </w:rPr>
              <w:t>Additional guidance – termination of resuscitation (TOR)</w:t>
            </w:r>
          </w:p>
        </w:tc>
        <w:tc>
          <w:tcPr>
            <w:tcW w:w="1750" w:type="pct"/>
          </w:tcPr>
          <w:p w14:paraId="4F646E85" w14:textId="7242CC06" w:rsidR="00AF6865" w:rsidRDefault="00AF6865" w:rsidP="00AF6865">
            <w:pPr>
              <w:jc w:val="both"/>
              <w:rPr>
                <w:rFonts w:cstheme="minorHAnsi"/>
                <w:sz w:val="18"/>
                <w:szCs w:val="18"/>
                <w:lang w:val="en-GB"/>
              </w:rPr>
            </w:pPr>
            <w:r w:rsidRPr="00AF6865">
              <w:rPr>
                <w:rFonts w:cstheme="minorHAnsi"/>
                <w:sz w:val="18"/>
                <w:szCs w:val="18"/>
                <w:lang w:val="en-GB"/>
              </w:rPr>
              <w:t>Duration of asystole</w:t>
            </w:r>
          </w:p>
        </w:tc>
        <w:tc>
          <w:tcPr>
            <w:tcW w:w="1683" w:type="pct"/>
            <w:gridSpan w:val="2"/>
          </w:tcPr>
          <w:p w14:paraId="5AF0B995" w14:textId="0799F8CC" w:rsidR="00AF6865" w:rsidRDefault="00AF6865" w:rsidP="00AF6865">
            <w:pPr>
              <w:jc w:val="both"/>
              <w:rPr>
                <w:rFonts w:cstheme="minorHAnsi"/>
                <w:sz w:val="18"/>
                <w:szCs w:val="18"/>
                <w:lang w:val="en-GB"/>
              </w:rPr>
            </w:pPr>
            <w:r w:rsidRPr="00AF6865">
              <w:rPr>
                <w:rFonts w:cstheme="minorHAnsi"/>
                <w:sz w:val="18"/>
                <w:szCs w:val="18"/>
                <w:lang w:val="en-GB"/>
              </w:rPr>
              <w:t>Amended</w:t>
            </w:r>
          </w:p>
        </w:tc>
      </w:tr>
      <w:tr w:rsidR="00C323C0" w:rsidRPr="007966C6" w14:paraId="574C5D6E" w14:textId="77777777" w:rsidTr="00CC4159">
        <w:tc>
          <w:tcPr>
            <w:tcW w:w="1567" w:type="pct"/>
            <w:vMerge w:val="restart"/>
          </w:tcPr>
          <w:p w14:paraId="0A0D6FD4" w14:textId="5BBD29A0" w:rsidR="00C323C0" w:rsidRDefault="00C323C0" w:rsidP="00175090">
            <w:pPr>
              <w:rPr>
                <w:rFonts w:cstheme="minorHAnsi"/>
                <w:b/>
                <w:spacing w:val="-4"/>
                <w:sz w:val="18"/>
                <w:szCs w:val="18"/>
              </w:rPr>
            </w:pPr>
            <w:r>
              <w:rPr>
                <w:rFonts w:cstheme="minorHAnsi"/>
                <w:b/>
                <w:spacing w:val="-4"/>
                <w:sz w:val="18"/>
                <w:szCs w:val="18"/>
              </w:rPr>
              <w:t>20.2 Post cardiac arrest</w:t>
            </w:r>
          </w:p>
        </w:tc>
        <w:tc>
          <w:tcPr>
            <w:tcW w:w="1750" w:type="pct"/>
          </w:tcPr>
          <w:p w14:paraId="4087D349" w14:textId="5B1371AB" w:rsidR="00C323C0" w:rsidRDefault="00C323C0" w:rsidP="00F36A37">
            <w:pPr>
              <w:jc w:val="both"/>
              <w:rPr>
                <w:rFonts w:cstheme="minorHAnsi"/>
                <w:sz w:val="18"/>
                <w:szCs w:val="18"/>
                <w:lang w:val="en-GB"/>
              </w:rPr>
            </w:pPr>
            <w:r>
              <w:rPr>
                <w:rFonts w:cstheme="minorHAnsi"/>
                <w:sz w:val="18"/>
                <w:szCs w:val="18"/>
                <w:lang w:val="en-GB"/>
              </w:rPr>
              <w:t>Oxygen cut-off</w:t>
            </w:r>
          </w:p>
        </w:tc>
        <w:tc>
          <w:tcPr>
            <w:tcW w:w="1683" w:type="pct"/>
            <w:gridSpan w:val="2"/>
          </w:tcPr>
          <w:p w14:paraId="35C164FF" w14:textId="4017254B" w:rsidR="00C323C0" w:rsidRDefault="00C323C0" w:rsidP="00175090">
            <w:pPr>
              <w:jc w:val="both"/>
              <w:rPr>
                <w:rFonts w:cstheme="minorHAnsi"/>
                <w:sz w:val="18"/>
                <w:szCs w:val="18"/>
                <w:lang w:val="en-GB"/>
              </w:rPr>
            </w:pPr>
            <w:r>
              <w:rPr>
                <w:rFonts w:cstheme="minorHAnsi"/>
                <w:sz w:val="18"/>
                <w:szCs w:val="18"/>
                <w:lang w:val="en-GB"/>
              </w:rPr>
              <w:t>Amended</w:t>
            </w:r>
          </w:p>
        </w:tc>
      </w:tr>
      <w:tr w:rsidR="00C323C0" w:rsidRPr="007966C6" w14:paraId="6F50579C" w14:textId="77777777" w:rsidTr="00CC4159">
        <w:tc>
          <w:tcPr>
            <w:tcW w:w="1567" w:type="pct"/>
            <w:vMerge/>
          </w:tcPr>
          <w:p w14:paraId="27A93A27" w14:textId="6DB62DC2" w:rsidR="00C323C0" w:rsidRDefault="00C323C0" w:rsidP="00C323C0">
            <w:pPr>
              <w:rPr>
                <w:rFonts w:cstheme="minorHAnsi"/>
                <w:b/>
                <w:spacing w:val="-4"/>
                <w:sz w:val="18"/>
                <w:szCs w:val="18"/>
              </w:rPr>
            </w:pPr>
          </w:p>
        </w:tc>
        <w:tc>
          <w:tcPr>
            <w:tcW w:w="1750" w:type="pct"/>
          </w:tcPr>
          <w:p w14:paraId="2228A0F1" w14:textId="5D94CAB6" w:rsidR="00C323C0" w:rsidRDefault="00C323C0" w:rsidP="00C323C0">
            <w:pPr>
              <w:jc w:val="both"/>
              <w:rPr>
                <w:rFonts w:cstheme="minorHAnsi"/>
                <w:sz w:val="18"/>
                <w:szCs w:val="18"/>
                <w:lang w:val="en-GB"/>
              </w:rPr>
            </w:pPr>
            <w:r>
              <w:rPr>
                <w:rFonts w:cstheme="minorHAnsi"/>
                <w:sz w:val="18"/>
                <w:szCs w:val="18"/>
                <w:lang w:val="en-GB"/>
              </w:rPr>
              <w:t>Temperature control</w:t>
            </w:r>
          </w:p>
        </w:tc>
        <w:tc>
          <w:tcPr>
            <w:tcW w:w="1683" w:type="pct"/>
            <w:gridSpan w:val="2"/>
          </w:tcPr>
          <w:p w14:paraId="0BB30EED" w14:textId="30319DFB" w:rsidR="00C323C0" w:rsidRDefault="00C323C0" w:rsidP="00C323C0">
            <w:pPr>
              <w:jc w:val="both"/>
              <w:rPr>
                <w:rFonts w:cstheme="minorHAnsi"/>
                <w:sz w:val="18"/>
                <w:szCs w:val="18"/>
                <w:lang w:val="en-GB"/>
              </w:rPr>
            </w:pPr>
            <w:r>
              <w:rPr>
                <w:rFonts w:cstheme="minorHAnsi"/>
                <w:sz w:val="18"/>
                <w:szCs w:val="18"/>
                <w:lang w:val="en-GB"/>
              </w:rPr>
              <w:t xml:space="preserve">Amended </w:t>
            </w:r>
          </w:p>
        </w:tc>
      </w:tr>
      <w:tr w:rsidR="008F1727" w:rsidRPr="007966C6" w14:paraId="77695035" w14:textId="77777777" w:rsidTr="00CC4159">
        <w:tc>
          <w:tcPr>
            <w:tcW w:w="1567" w:type="pct"/>
          </w:tcPr>
          <w:p w14:paraId="019011A0" w14:textId="44CB8120" w:rsidR="008F1727" w:rsidRDefault="008F1727" w:rsidP="008F1727">
            <w:pPr>
              <w:rPr>
                <w:rFonts w:cstheme="minorHAnsi"/>
                <w:b/>
                <w:spacing w:val="-4"/>
                <w:sz w:val="18"/>
                <w:szCs w:val="18"/>
              </w:rPr>
            </w:pPr>
            <w:r>
              <w:rPr>
                <w:rFonts w:cstheme="minorHAnsi"/>
                <w:b/>
                <w:spacing w:val="-4"/>
                <w:sz w:val="18"/>
                <w:szCs w:val="18"/>
              </w:rPr>
              <w:t xml:space="preserve">- </w:t>
            </w:r>
            <w:r>
              <w:rPr>
                <w:rFonts w:cstheme="minorHAnsi"/>
                <w:bCs/>
                <w:i/>
                <w:iCs/>
                <w:spacing w:val="-4"/>
                <w:sz w:val="18"/>
                <w:szCs w:val="18"/>
              </w:rPr>
              <w:t>Hypovalaemia</w:t>
            </w:r>
          </w:p>
        </w:tc>
        <w:tc>
          <w:tcPr>
            <w:tcW w:w="1750" w:type="pct"/>
          </w:tcPr>
          <w:p w14:paraId="0F00D73B" w14:textId="0AD4AE9D" w:rsidR="008F1727" w:rsidRDefault="008F1727" w:rsidP="008F1727">
            <w:pPr>
              <w:jc w:val="both"/>
              <w:rPr>
                <w:rFonts w:cstheme="minorHAnsi"/>
                <w:sz w:val="18"/>
                <w:szCs w:val="18"/>
                <w:lang w:val="en-GB"/>
              </w:rPr>
            </w:pPr>
            <w:r>
              <w:rPr>
                <w:rFonts w:cstheme="minorHAnsi"/>
                <w:sz w:val="18"/>
                <w:szCs w:val="18"/>
                <w:lang w:val="en-GB"/>
              </w:rPr>
              <w:t>Sodium chloride 0.9%, parenteral</w:t>
            </w:r>
          </w:p>
        </w:tc>
        <w:tc>
          <w:tcPr>
            <w:tcW w:w="1683" w:type="pct"/>
            <w:gridSpan w:val="2"/>
          </w:tcPr>
          <w:p w14:paraId="2E4DBD70" w14:textId="1C3B7575" w:rsidR="008F1727" w:rsidRDefault="008F1727" w:rsidP="008F1727">
            <w:pPr>
              <w:jc w:val="both"/>
              <w:rPr>
                <w:rFonts w:cstheme="minorHAnsi"/>
                <w:sz w:val="18"/>
                <w:szCs w:val="18"/>
                <w:lang w:val="en-GB"/>
              </w:rPr>
            </w:pPr>
            <w:r>
              <w:rPr>
                <w:rFonts w:cstheme="minorHAnsi"/>
                <w:sz w:val="18"/>
                <w:szCs w:val="18"/>
                <w:lang w:val="en-GB"/>
              </w:rPr>
              <w:t>Amended (directions for use added)</w:t>
            </w:r>
          </w:p>
        </w:tc>
      </w:tr>
      <w:tr w:rsidR="00C323C0" w:rsidRPr="007966C6" w14:paraId="1CB06855" w14:textId="77777777" w:rsidTr="00F14C59">
        <w:tc>
          <w:tcPr>
            <w:tcW w:w="5000" w:type="pct"/>
            <w:gridSpan w:val="4"/>
            <w:shd w:val="clear" w:color="auto" w:fill="E7E6E6" w:themeFill="background2"/>
          </w:tcPr>
          <w:p w14:paraId="34C5A0A3" w14:textId="55DF955B" w:rsidR="00C323C0" w:rsidRPr="00C323C0" w:rsidRDefault="00C323C0" w:rsidP="003F14C9">
            <w:pPr>
              <w:pStyle w:val="ListParagraph"/>
              <w:numPr>
                <w:ilvl w:val="0"/>
                <w:numId w:val="40"/>
              </w:numPr>
              <w:jc w:val="both"/>
              <w:rPr>
                <w:rFonts w:cstheme="minorHAnsi"/>
                <w:b/>
                <w:bCs/>
                <w:i/>
                <w:iCs/>
                <w:sz w:val="18"/>
                <w:szCs w:val="18"/>
                <w:lang w:val="en-GB"/>
              </w:rPr>
            </w:pPr>
            <w:r>
              <w:rPr>
                <w:rFonts w:cstheme="minorHAnsi"/>
                <w:b/>
                <w:bCs/>
                <w:i/>
                <w:iCs/>
                <w:sz w:val="18"/>
                <w:szCs w:val="18"/>
                <w:lang w:val="en-GB"/>
              </w:rPr>
              <w:t>Medical emergencies</w:t>
            </w:r>
          </w:p>
        </w:tc>
      </w:tr>
      <w:tr w:rsidR="00C323C0" w:rsidRPr="007966C6" w14:paraId="14E184FD" w14:textId="77777777" w:rsidTr="00CC4159">
        <w:tc>
          <w:tcPr>
            <w:tcW w:w="1567" w:type="pct"/>
            <w:vMerge w:val="restart"/>
          </w:tcPr>
          <w:p w14:paraId="61684010" w14:textId="77777777" w:rsidR="00C323C0" w:rsidRDefault="00C323C0" w:rsidP="00175090">
            <w:pPr>
              <w:rPr>
                <w:rFonts w:cstheme="minorHAnsi"/>
                <w:b/>
                <w:spacing w:val="-4"/>
                <w:sz w:val="18"/>
                <w:szCs w:val="18"/>
              </w:rPr>
            </w:pPr>
            <w:bookmarkStart w:id="2" w:name="_Hlk116111776"/>
            <w:r>
              <w:rPr>
                <w:rFonts w:cstheme="minorHAnsi"/>
                <w:b/>
                <w:spacing w:val="-4"/>
                <w:sz w:val="18"/>
                <w:szCs w:val="18"/>
              </w:rPr>
              <w:t>20.6 Angioedema</w:t>
            </w:r>
          </w:p>
          <w:p w14:paraId="5C533977" w14:textId="5CD24689" w:rsidR="00C323C0" w:rsidRPr="003F14C9" w:rsidRDefault="00C323C0" w:rsidP="00175090">
            <w:pPr>
              <w:rPr>
                <w:rFonts w:cstheme="minorHAnsi"/>
                <w:bCs/>
                <w:i/>
                <w:iCs/>
                <w:spacing w:val="-4"/>
                <w:sz w:val="18"/>
                <w:szCs w:val="18"/>
              </w:rPr>
            </w:pPr>
            <w:r w:rsidRPr="003F14C9">
              <w:rPr>
                <w:rFonts w:cstheme="minorHAnsi"/>
                <w:bCs/>
                <w:i/>
                <w:iCs/>
                <w:spacing w:val="-4"/>
                <w:sz w:val="18"/>
                <w:szCs w:val="18"/>
              </w:rPr>
              <w:t>-</w:t>
            </w:r>
            <w:r w:rsidRPr="003F14C9">
              <w:rPr>
                <w:bCs/>
                <w:i/>
                <w:iCs/>
              </w:rPr>
              <w:t xml:space="preserve"> </w:t>
            </w:r>
            <w:r w:rsidRPr="003F14C9">
              <w:rPr>
                <w:rFonts w:cstheme="minorHAnsi"/>
                <w:bCs/>
                <w:i/>
                <w:iCs/>
                <w:spacing w:val="-4"/>
                <w:sz w:val="18"/>
                <w:szCs w:val="18"/>
              </w:rPr>
              <w:t>If urticaria and/or itch present (no imminent airway compromise)</w:t>
            </w:r>
          </w:p>
        </w:tc>
        <w:tc>
          <w:tcPr>
            <w:tcW w:w="1750" w:type="pct"/>
          </w:tcPr>
          <w:p w14:paraId="7FD08256" w14:textId="2F23F9FE" w:rsidR="00C323C0" w:rsidRDefault="00C323C0" w:rsidP="00F36A37">
            <w:pPr>
              <w:jc w:val="both"/>
              <w:rPr>
                <w:rFonts w:cstheme="minorHAnsi"/>
                <w:sz w:val="18"/>
                <w:szCs w:val="18"/>
                <w:lang w:val="en-GB"/>
              </w:rPr>
            </w:pPr>
            <w:r>
              <w:rPr>
                <w:rFonts w:cstheme="minorHAnsi"/>
                <w:sz w:val="18"/>
                <w:szCs w:val="18"/>
                <w:lang w:val="en-GB"/>
              </w:rPr>
              <w:t>Hydrocortisone, IV</w:t>
            </w:r>
          </w:p>
        </w:tc>
        <w:tc>
          <w:tcPr>
            <w:tcW w:w="1683" w:type="pct"/>
            <w:gridSpan w:val="2"/>
          </w:tcPr>
          <w:p w14:paraId="7D2523F6" w14:textId="71EFF6BC" w:rsidR="00C323C0" w:rsidRDefault="00C323C0" w:rsidP="00175090">
            <w:pPr>
              <w:jc w:val="both"/>
              <w:rPr>
                <w:rFonts w:cstheme="minorHAnsi"/>
                <w:sz w:val="18"/>
                <w:szCs w:val="18"/>
                <w:lang w:val="en-GB"/>
              </w:rPr>
            </w:pPr>
            <w:r>
              <w:rPr>
                <w:rFonts w:cstheme="minorHAnsi"/>
                <w:sz w:val="18"/>
                <w:szCs w:val="18"/>
                <w:lang w:val="en-GB"/>
              </w:rPr>
              <w:t>Amended (directions for use)</w:t>
            </w:r>
          </w:p>
        </w:tc>
      </w:tr>
      <w:tr w:rsidR="00C323C0" w:rsidRPr="007966C6" w14:paraId="05FF3E2F" w14:textId="77777777" w:rsidTr="00CC4159">
        <w:tc>
          <w:tcPr>
            <w:tcW w:w="1567" w:type="pct"/>
            <w:vMerge/>
          </w:tcPr>
          <w:p w14:paraId="0B1D60EA" w14:textId="66314527" w:rsidR="00C323C0" w:rsidRDefault="00C323C0" w:rsidP="00175090">
            <w:pPr>
              <w:rPr>
                <w:rFonts w:cstheme="minorHAnsi"/>
                <w:b/>
                <w:spacing w:val="-4"/>
                <w:sz w:val="18"/>
                <w:szCs w:val="18"/>
              </w:rPr>
            </w:pPr>
          </w:p>
        </w:tc>
        <w:tc>
          <w:tcPr>
            <w:tcW w:w="1750" w:type="pct"/>
          </w:tcPr>
          <w:p w14:paraId="011BB4F9" w14:textId="4DF925F6" w:rsidR="00C323C0" w:rsidRDefault="00C323C0" w:rsidP="00F36A37">
            <w:pPr>
              <w:jc w:val="both"/>
              <w:rPr>
                <w:rFonts w:cstheme="minorHAnsi"/>
                <w:sz w:val="18"/>
                <w:szCs w:val="18"/>
                <w:lang w:val="en-GB"/>
              </w:rPr>
            </w:pPr>
            <w:r>
              <w:rPr>
                <w:rFonts w:cstheme="minorHAnsi"/>
                <w:sz w:val="18"/>
                <w:szCs w:val="18"/>
                <w:lang w:val="en-GB"/>
              </w:rPr>
              <w:t>Promethazine, IV</w:t>
            </w:r>
          </w:p>
        </w:tc>
        <w:tc>
          <w:tcPr>
            <w:tcW w:w="1683" w:type="pct"/>
            <w:gridSpan w:val="2"/>
          </w:tcPr>
          <w:p w14:paraId="1EFA5E45" w14:textId="33014B70" w:rsidR="00C323C0" w:rsidRDefault="00C323C0" w:rsidP="00175090">
            <w:pPr>
              <w:jc w:val="both"/>
              <w:rPr>
                <w:rFonts w:cstheme="minorHAnsi"/>
                <w:sz w:val="18"/>
                <w:szCs w:val="18"/>
                <w:lang w:val="en-GB"/>
              </w:rPr>
            </w:pPr>
            <w:r>
              <w:rPr>
                <w:rFonts w:cstheme="minorHAnsi"/>
                <w:sz w:val="18"/>
                <w:szCs w:val="18"/>
                <w:lang w:val="en-GB"/>
              </w:rPr>
              <w:t>Amended (directions for use)</w:t>
            </w:r>
          </w:p>
        </w:tc>
      </w:tr>
      <w:tr w:rsidR="00C323C0" w:rsidRPr="007966C6" w14:paraId="01AE116D" w14:textId="77777777" w:rsidTr="00CC4159">
        <w:tc>
          <w:tcPr>
            <w:tcW w:w="1567" w:type="pct"/>
            <w:vMerge/>
          </w:tcPr>
          <w:p w14:paraId="2C014A22" w14:textId="77777777" w:rsidR="00C323C0" w:rsidRDefault="00C323C0" w:rsidP="00175090">
            <w:pPr>
              <w:rPr>
                <w:rFonts w:cstheme="minorHAnsi"/>
                <w:b/>
                <w:spacing w:val="-4"/>
                <w:sz w:val="18"/>
                <w:szCs w:val="18"/>
              </w:rPr>
            </w:pPr>
          </w:p>
        </w:tc>
        <w:tc>
          <w:tcPr>
            <w:tcW w:w="1750" w:type="pct"/>
          </w:tcPr>
          <w:p w14:paraId="4885CD42" w14:textId="30B87572" w:rsidR="00C323C0" w:rsidRDefault="00C323C0" w:rsidP="00F36A37">
            <w:pPr>
              <w:jc w:val="both"/>
              <w:rPr>
                <w:rFonts w:cstheme="minorHAnsi"/>
                <w:sz w:val="18"/>
                <w:szCs w:val="18"/>
                <w:lang w:val="en-GB"/>
              </w:rPr>
            </w:pPr>
            <w:r>
              <w:rPr>
                <w:rFonts w:cstheme="minorHAnsi"/>
                <w:sz w:val="18"/>
                <w:szCs w:val="18"/>
                <w:lang w:val="en-GB"/>
              </w:rPr>
              <w:t>Cetirizine, oral</w:t>
            </w:r>
          </w:p>
        </w:tc>
        <w:tc>
          <w:tcPr>
            <w:tcW w:w="1683" w:type="pct"/>
            <w:gridSpan w:val="2"/>
          </w:tcPr>
          <w:p w14:paraId="5020496F" w14:textId="3C33FE52" w:rsidR="00C323C0" w:rsidRDefault="00DF0470" w:rsidP="00175090">
            <w:pPr>
              <w:jc w:val="both"/>
              <w:rPr>
                <w:rFonts w:cstheme="minorHAnsi"/>
                <w:sz w:val="18"/>
                <w:szCs w:val="18"/>
                <w:lang w:val="en-GB"/>
              </w:rPr>
            </w:pPr>
            <w:r>
              <w:rPr>
                <w:rFonts w:cstheme="minorHAnsi"/>
                <w:sz w:val="18"/>
                <w:szCs w:val="18"/>
                <w:lang w:val="en-GB"/>
              </w:rPr>
              <w:t>Deleted</w:t>
            </w:r>
          </w:p>
        </w:tc>
      </w:tr>
      <w:bookmarkEnd w:id="2"/>
      <w:tr w:rsidR="00C323C0" w:rsidRPr="007966C6" w14:paraId="110E8A46" w14:textId="77777777" w:rsidTr="00CC4159">
        <w:tc>
          <w:tcPr>
            <w:tcW w:w="1567" w:type="pct"/>
          </w:tcPr>
          <w:p w14:paraId="45306B79" w14:textId="418253F9" w:rsidR="00C323C0" w:rsidRDefault="003F14C9" w:rsidP="00175090">
            <w:pPr>
              <w:rPr>
                <w:rFonts w:cstheme="minorHAnsi"/>
                <w:b/>
                <w:spacing w:val="-4"/>
                <w:sz w:val="18"/>
                <w:szCs w:val="18"/>
              </w:rPr>
            </w:pPr>
            <w:r>
              <w:rPr>
                <w:rFonts w:cstheme="minorHAnsi"/>
                <w:b/>
                <w:spacing w:val="-4"/>
                <w:sz w:val="18"/>
                <w:szCs w:val="18"/>
              </w:rPr>
              <w:t>20.7 Anapylaxis/anaphylactic shock</w:t>
            </w:r>
          </w:p>
        </w:tc>
        <w:tc>
          <w:tcPr>
            <w:tcW w:w="1750" w:type="pct"/>
          </w:tcPr>
          <w:p w14:paraId="6D97E908" w14:textId="620CE24F" w:rsidR="00C323C0" w:rsidRDefault="003F14C9" w:rsidP="00F36A37">
            <w:pPr>
              <w:jc w:val="both"/>
              <w:rPr>
                <w:rFonts w:cstheme="minorHAnsi"/>
                <w:sz w:val="18"/>
                <w:szCs w:val="18"/>
                <w:lang w:val="en-GB"/>
              </w:rPr>
            </w:pPr>
            <w:r>
              <w:rPr>
                <w:rFonts w:cstheme="minorHAnsi"/>
                <w:sz w:val="18"/>
                <w:szCs w:val="18"/>
                <w:lang w:val="en-GB"/>
              </w:rPr>
              <w:t>Anaphylaxis associated with COVID-19 vaccination guidance</w:t>
            </w:r>
          </w:p>
        </w:tc>
        <w:tc>
          <w:tcPr>
            <w:tcW w:w="1683" w:type="pct"/>
            <w:gridSpan w:val="2"/>
          </w:tcPr>
          <w:p w14:paraId="77D3BD35" w14:textId="1DE98E2B" w:rsidR="00C323C0" w:rsidRDefault="003F14C9" w:rsidP="00175090">
            <w:pPr>
              <w:jc w:val="both"/>
              <w:rPr>
                <w:rFonts w:cstheme="minorHAnsi"/>
                <w:sz w:val="18"/>
                <w:szCs w:val="18"/>
                <w:lang w:val="en-GB"/>
              </w:rPr>
            </w:pPr>
            <w:r>
              <w:rPr>
                <w:rFonts w:cstheme="minorHAnsi"/>
                <w:sz w:val="18"/>
                <w:szCs w:val="18"/>
                <w:lang w:val="en-GB"/>
              </w:rPr>
              <w:t>Added</w:t>
            </w:r>
          </w:p>
        </w:tc>
      </w:tr>
      <w:tr w:rsidR="00DF592A" w:rsidRPr="007966C6" w14:paraId="5A21D388" w14:textId="77777777" w:rsidTr="00CC4159">
        <w:tc>
          <w:tcPr>
            <w:tcW w:w="1567" w:type="pct"/>
            <w:vMerge w:val="restart"/>
          </w:tcPr>
          <w:p w14:paraId="274D5F25" w14:textId="77777777" w:rsidR="00DF592A" w:rsidRPr="00DF592A" w:rsidRDefault="00DF592A" w:rsidP="00175090">
            <w:pPr>
              <w:rPr>
                <w:sz w:val="18"/>
                <w:szCs w:val="18"/>
              </w:rPr>
            </w:pPr>
            <w:r w:rsidRPr="00DF592A">
              <w:rPr>
                <w:rFonts w:cstheme="minorHAnsi"/>
                <w:b/>
                <w:spacing w:val="-4"/>
                <w:sz w:val="18"/>
                <w:szCs w:val="18"/>
              </w:rPr>
              <w:t>20.8 Delirium</w:t>
            </w:r>
            <w:r w:rsidRPr="00DF592A">
              <w:rPr>
                <w:sz w:val="18"/>
                <w:szCs w:val="18"/>
              </w:rPr>
              <w:t xml:space="preserve"> </w:t>
            </w:r>
          </w:p>
          <w:p w14:paraId="75DB682F" w14:textId="1C838511" w:rsidR="00DF592A" w:rsidRPr="00DF592A" w:rsidRDefault="00DF592A" w:rsidP="00175090">
            <w:pPr>
              <w:rPr>
                <w:rFonts w:cstheme="minorHAnsi"/>
                <w:bCs/>
                <w:i/>
                <w:iCs/>
                <w:spacing w:val="-4"/>
                <w:sz w:val="18"/>
                <w:szCs w:val="18"/>
              </w:rPr>
            </w:pPr>
            <w:r w:rsidRPr="00DF592A">
              <w:rPr>
                <w:bCs/>
                <w:i/>
                <w:iCs/>
                <w:spacing w:val="-4"/>
                <w:sz w:val="18"/>
                <w:szCs w:val="18"/>
              </w:rPr>
              <w:t xml:space="preserve">- </w:t>
            </w:r>
            <w:r w:rsidRPr="00DF592A">
              <w:rPr>
                <w:rFonts w:cstheme="minorHAnsi"/>
                <w:bCs/>
                <w:i/>
                <w:iCs/>
                <w:spacing w:val="-4"/>
                <w:sz w:val="18"/>
                <w:szCs w:val="18"/>
              </w:rPr>
              <w:t>Acute management: For agitated and acutely disturbed patient</w:t>
            </w:r>
          </w:p>
        </w:tc>
        <w:tc>
          <w:tcPr>
            <w:tcW w:w="1750" w:type="pct"/>
          </w:tcPr>
          <w:p w14:paraId="7D38BB39" w14:textId="47D05B0D" w:rsidR="00DF592A" w:rsidRPr="00DF592A" w:rsidRDefault="00DF592A" w:rsidP="00DF592A">
            <w:pPr>
              <w:pStyle w:val="ListParagraph"/>
              <w:ind w:left="0"/>
              <w:jc w:val="both"/>
              <w:rPr>
                <w:rFonts w:cstheme="minorHAnsi"/>
                <w:bCs/>
                <w:sz w:val="18"/>
                <w:szCs w:val="18"/>
              </w:rPr>
            </w:pPr>
            <w:r w:rsidRPr="00DF592A">
              <w:rPr>
                <w:rFonts w:cstheme="minorHAnsi"/>
                <w:bCs/>
                <w:sz w:val="18"/>
                <w:szCs w:val="18"/>
              </w:rPr>
              <w:t>Haloperidol, IM</w:t>
            </w:r>
          </w:p>
        </w:tc>
        <w:tc>
          <w:tcPr>
            <w:tcW w:w="1683" w:type="pct"/>
            <w:gridSpan w:val="2"/>
          </w:tcPr>
          <w:p w14:paraId="04736622" w14:textId="5EEB4D0E" w:rsidR="00DF592A" w:rsidRPr="00DF592A" w:rsidRDefault="00DF592A" w:rsidP="00175090">
            <w:pPr>
              <w:jc w:val="both"/>
              <w:rPr>
                <w:rFonts w:cstheme="minorHAnsi"/>
                <w:sz w:val="18"/>
                <w:szCs w:val="18"/>
                <w:lang w:val="en-GB"/>
              </w:rPr>
            </w:pPr>
            <w:r w:rsidRPr="00DF592A">
              <w:rPr>
                <w:rFonts w:cstheme="minorHAnsi"/>
                <w:sz w:val="18"/>
                <w:szCs w:val="18"/>
                <w:lang w:val="en-GB"/>
              </w:rPr>
              <w:t>Deleted</w:t>
            </w:r>
          </w:p>
        </w:tc>
      </w:tr>
      <w:tr w:rsidR="00DF592A" w:rsidRPr="007966C6" w14:paraId="2C54C5C8" w14:textId="77777777" w:rsidTr="00CC4159">
        <w:tc>
          <w:tcPr>
            <w:tcW w:w="1567" w:type="pct"/>
            <w:vMerge/>
          </w:tcPr>
          <w:p w14:paraId="5EBCF68D" w14:textId="4E7E4C30" w:rsidR="00DF592A" w:rsidRPr="00DF592A" w:rsidRDefault="00DF592A" w:rsidP="00DF592A">
            <w:pPr>
              <w:pStyle w:val="ListParagraph"/>
              <w:ind w:left="0"/>
              <w:jc w:val="both"/>
              <w:rPr>
                <w:rFonts w:cstheme="minorHAnsi"/>
                <w:bCs/>
                <w:sz w:val="18"/>
                <w:szCs w:val="18"/>
              </w:rPr>
            </w:pPr>
          </w:p>
        </w:tc>
        <w:tc>
          <w:tcPr>
            <w:tcW w:w="1750" w:type="pct"/>
          </w:tcPr>
          <w:p w14:paraId="124B5984" w14:textId="18609FD2" w:rsidR="00DF592A" w:rsidRPr="00DF592A" w:rsidRDefault="00DF592A" w:rsidP="00DF592A">
            <w:pPr>
              <w:pStyle w:val="ListParagraph"/>
              <w:ind w:left="0"/>
              <w:jc w:val="both"/>
              <w:rPr>
                <w:rFonts w:cstheme="minorHAnsi"/>
                <w:bCs/>
                <w:sz w:val="18"/>
                <w:szCs w:val="18"/>
              </w:rPr>
            </w:pPr>
            <w:r w:rsidRPr="00DF592A">
              <w:rPr>
                <w:rFonts w:cstheme="minorHAnsi"/>
                <w:bCs/>
                <w:sz w:val="18"/>
                <w:szCs w:val="18"/>
              </w:rPr>
              <w:t>Olanzapine, oral</w:t>
            </w:r>
          </w:p>
        </w:tc>
        <w:tc>
          <w:tcPr>
            <w:tcW w:w="1683" w:type="pct"/>
            <w:gridSpan w:val="2"/>
          </w:tcPr>
          <w:p w14:paraId="6FB5CBB5" w14:textId="082C99A0" w:rsidR="00DF592A" w:rsidRPr="00DF592A" w:rsidRDefault="00DF592A" w:rsidP="00175090">
            <w:pPr>
              <w:jc w:val="both"/>
              <w:rPr>
                <w:rFonts w:cstheme="minorHAnsi"/>
                <w:sz w:val="18"/>
                <w:szCs w:val="18"/>
                <w:lang w:val="en-GB"/>
              </w:rPr>
            </w:pPr>
            <w:r w:rsidRPr="00DF592A">
              <w:rPr>
                <w:rFonts w:cstheme="minorHAnsi"/>
                <w:sz w:val="18"/>
                <w:szCs w:val="18"/>
                <w:lang w:val="en-GB"/>
              </w:rPr>
              <w:t>Added</w:t>
            </w:r>
          </w:p>
        </w:tc>
      </w:tr>
      <w:tr w:rsidR="00DF592A" w:rsidRPr="007966C6" w14:paraId="1543B2E4" w14:textId="77777777" w:rsidTr="00CC4159">
        <w:tc>
          <w:tcPr>
            <w:tcW w:w="1567" w:type="pct"/>
            <w:vMerge/>
          </w:tcPr>
          <w:p w14:paraId="453F7284" w14:textId="77777777" w:rsidR="00DF592A" w:rsidRPr="00DF592A" w:rsidRDefault="00DF592A" w:rsidP="00F61BA0">
            <w:pPr>
              <w:pStyle w:val="ListParagraph"/>
              <w:ind w:left="0"/>
              <w:jc w:val="both"/>
              <w:rPr>
                <w:rFonts w:cstheme="minorHAnsi"/>
                <w:b/>
                <w:sz w:val="18"/>
                <w:szCs w:val="18"/>
              </w:rPr>
            </w:pPr>
          </w:p>
        </w:tc>
        <w:tc>
          <w:tcPr>
            <w:tcW w:w="1750" w:type="pct"/>
          </w:tcPr>
          <w:p w14:paraId="2E191396" w14:textId="6038286E" w:rsidR="00DF592A" w:rsidRPr="00DF592A" w:rsidRDefault="00DF592A" w:rsidP="00DF592A">
            <w:pPr>
              <w:pStyle w:val="ListParagraph"/>
              <w:ind w:left="0"/>
              <w:jc w:val="both"/>
              <w:rPr>
                <w:rFonts w:cstheme="minorHAnsi"/>
                <w:bCs/>
                <w:sz w:val="18"/>
                <w:szCs w:val="18"/>
              </w:rPr>
            </w:pPr>
            <w:r w:rsidRPr="00DF592A">
              <w:rPr>
                <w:rFonts w:cstheme="minorHAnsi"/>
                <w:bCs/>
                <w:sz w:val="18"/>
                <w:szCs w:val="18"/>
              </w:rPr>
              <w:t>Olanzapine, oro-dispersible</w:t>
            </w:r>
          </w:p>
        </w:tc>
        <w:tc>
          <w:tcPr>
            <w:tcW w:w="1683" w:type="pct"/>
            <w:gridSpan w:val="2"/>
          </w:tcPr>
          <w:p w14:paraId="13112EF9" w14:textId="7AF7CC5E" w:rsidR="00DF592A" w:rsidRPr="00DF592A" w:rsidRDefault="00DF592A" w:rsidP="00175090">
            <w:pPr>
              <w:jc w:val="both"/>
              <w:rPr>
                <w:rFonts w:cstheme="minorHAnsi"/>
                <w:sz w:val="18"/>
                <w:szCs w:val="18"/>
                <w:lang w:val="en-GB"/>
              </w:rPr>
            </w:pPr>
            <w:r w:rsidRPr="00DF592A">
              <w:rPr>
                <w:rFonts w:cstheme="minorHAnsi"/>
                <w:sz w:val="18"/>
                <w:szCs w:val="18"/>
                <w:lang w:val="en-GB"/>
              </w:rPr>
              <w:t>Added</w:t>
            </w:r>
          </w:p>
        </w:tc>
      </w:tr>
      <w:tr w:rsidR="00DF592A" w:rsidRPr="007966C6" w14:paraId="6A14FB5E" w14:textId="77777777" w:rsidTr="00CC4159">
        <w:tc>
          <w:tcPr>
            <w:tcW w:w="1567" w:type="pct"/>
            <w:vMerge/>
          </w:tcPr>
          <w:p w14:paraId="377EBDD7" w14:textId="77777777" w:rsidR="00DF592A" w:rsidRPr="00DF592A" w:rsidRDefault="00DF592A" w:rsidP="00F61BA0">
            <w:pPr>
              <w:pStyle w:val="ListParagraph"/>
              <w:ind w:left="0"/>
              <w:jc w:val="both"/>
              <w:rPr>
                <w:rFonts w:cstheme="minorHAnsi"/>
                <w:b/>
                <w:sz w:val="18"/>
                <w:szCs w:val="18"/>
              </w:rPr>
            </w:pPr>
          </w:p>
        </w:tc>
        <w:tc>
          <w:tcPr>
            <w:tcW w:w="1750" w:type="pct"/>
          </w:tcPr>
          <w:p w14:paraId="1445C177" w14:textId="29AB4115" w:rsidR="00DF592A" w:rsidRPr="00DF592A" w:rsidRDefault="00DF592A" w:rsidP="00F36A37">
            <w:pPr>
              <w:jc w:val="both"/>
              <w:rPr>
                <w:rFonts w:cstheme="minorHAnsi"/>
                <w:sz w:val="18"/>
                <w:szCs w:val="18"/>
                <w:lang w:val="en-GB"/>
              </w:rPr>
            </w:pPr>
            <w:r w:rsidRPr="00DF592A">
              <w:rPr>
                <w:rFonts w:cstheme="minorHAnsi"/>
                <w:bCs/>
                <w:sz w:val="18"/>
                <w:szCs w:val="18"/>
              </w:rPr>
              <w:t>Olanzapine, IM</w:t>
            </w:r>
          </w:p>
        </w:tc>
        <w:tc>
          <w:tcPr>
            <w:tcW w:w="1683" w:type="pct"/>
            <w:gridSpan w:val="2"/>
          </w:tcPr>
          <w:p w14:paraId="531BBC55" w14:textId="1B8B3DC1" w:rsidR="00DF592A" w:rsidRPr="00DF592A" w:rsidRDefault="00DF592A" w:rsidP="00175090">
            <w:pPr>
              <w:jc w:val="both"/>
              <w:rPr>
                <w:rFonts w:cstheme="minorHAnsi"/>
                <w:sz w:val="18"/>
                <w:szCs w:val="18"/>
                <w:lang w:val="en-GB"/>
              </w:rPr>
            </w:pPr>
            <w:r w:rsidRPr="00DF592A">
              <w:rPr>
                <w:rFonts w:cstheme="minorHAnsi"/>
                <w:sz w:val="18"/>
                <w:szCs w:val="18"/>
                <w:lang w:val="en-GB"/>
              </w:rPr>
              <w:t>Added</w:t>
            </w:r>
          </w:p>
        </w:tc>
      </w:tr>
      <w:tr w:rsidR="00CC4159" w:rsidRPr="007966C6" w14:paraId="6D79036A" w14:textId="77777777" w:rsidTr="00CC4159">
        <w:trPr>
          <w:gridAfter w:val="1"/>
          <w:wAfter w:w="1440" w:type="dxa"/>
        </w:trPr>
        <w:tc>
          <w:tcPr>
            <w:tcW w:w="1567" w:type="pct"/>
            <w:vMerge w:val="restart"/>
          </w:tcPr>
          <w:p w14:paraId="24943A86" w14:textId="4834FAAF" w:rsidR="00CC4159" w:rsidRPr="00CC4159" w:rsidRDefault="00CC4159" w:rsidP="00CC4159">
            <w:pPr>
              <w:pStyle w:val="ListParagraph"/>
              <w:ind w:left="0"/>
              <w:jc w:val="both"/>
              <w:rPr>
                <w:rFonts w:cstheme="minorHAnsi"/>
                <w:bCs/>
                <w:sz w:val="18"/>
                <w:szCs w:val="18"/>
              </w:rPr>
            </w:pPr>
            <w:r w:rsidRPr="00CC4159">
              <w:rPr>
                <w:rFonts w:cstheme="minorHAnsi"/>
                <w:bCs/>
                <w:i/>
                <w:iCs/>
                <w:spacing w:val="-4"/>
                <w:sz w:val="18"/>
                <w:szCs w:val="18"/>
              </w:rPr>
              <w:t>-</w:t>
            </w:r>
            <w:r w:rsidRPr="00CC4159">
              <w:rPr>
                <w:bCs/>
                <w:i/>
                <w:iCs/>
                <w:sz w:val="18"/>
                <w:szCs w:val="18"/>
              </w:rPr>
              <w:t xml:space="preserve"> </w:t>
            </w:r>
            <w:r w:rsidRPr="00CC4159">
              <w:rPr>
                <w:rFonts w:cstheme="minorHAnsi"/>
                <w:bCs/>
                <w:i/>
                <w:iCs/>
                <w:spacing w:val="-4"/>
                <w:sz w:val="18"/>
                <w:szCs w:val="18"/>
              </w:rPr>
              <w:t>when patient can swallow – follow-on therapy to control behaviour</w:t>
            </w:r>
          </w:p>
        </w:tc>
        <w:tc>
          <w:tcPr>
            <w:tcW w:w="1750" w:type="pct"/>
          </w:tcPr>
          <w:p w14:paraId="6595ECA9" w14:textId="39B84508" w:rsidR="00CC4159" w:rsidRPr="00CC4159" w:rsidRDefault="00CC4159" w:rsidP="00CC4159">
            <w:pPr>
              <w:jc w:val="both"/>
              <w:rPr>
                <w:rFonts w:cstheme="minorHAnsi"/>
                <w:bCs/>
                <w:sz w:val="18"/>
                <w:szCs w:val="18"/>
              </w:rPr>
            </w:pPr>
            <w:r w:rsidRPr="00CC4159">
              <w:rPr>
                <w:sz w:val="18"/>
                <w:szCs w:val="18"/>
              </w:rPr>
              <w:t>Olanzapine, oral</w:t>
            </w:r>
          </w:p>
        </w:tc>
        <w:tc>
          <w:tcPr>
            <w:tcW w:w="1680" w:type="pct"/>
          </w:tcPr>
          <w:p w14:paraId="43A50242" w14:textId="0DED458F" w:rsidR="00CC4159" w:rsidRPr="00CC4159" w:rsidRDefault="00CC4159" w:rsidP="00CC4159">
            <w:pPr>
              <w:jc w:val="both"/>
              <w:rPr>
                <w:rFonts w:cstheme="minorHAnsi"/>
                <w:sz w:val="18"/>
                <w:szCs w:val="18"/>
                <w:lang w:val="en-GB"/>
              </w:rPr>
            </w:pPr>
            <w:r w:rsidRPr="00CC4159">
              <w:rPr>
                <w:sz w:val="18"/>
                <w:szCs w:val="18"/>
              </w:rPr>
              <w:t>A</w:t>
            </w:r>
            <w:r w:rsidRPr="00CC4159">
              <w:rPr>
                <w:sz w:val="18"/>
                <w:szCs w:val="18"/>
              </w:rPr>
              <w:t>dded as follow-on therapy when patient can swallow</w:t>
            </w:r>
          </w:p>
        </w:tc>
      </w:tr>
      <w:tr w:rsidR="00CC4159" w:rsidRPr="007966C6" w14:paraId="65F81A81" w14:textId="77777777" w:rsidTr="00CC4159">
        <w:trPr>
          <w:gridAfter w:val="1"/>
          <w:wAfter w:w="1440" w:type="dxa"/>
        </w:trPr>
        <w:tc>
          <w:tcPr>
            <w:tcW w:w="1567" w:type="pct"/>
            <w:vMerge/>
          </w:tcPr>
          <w:p w14:paraId="6E1A4417" w14:textId="77777777" w:rsidR="00CC4159" w:rsidRPr="00CC4159" w:rsidRDefault="00CC4159" w:rsidP="00CC4159">
            <w:pPr>
              <w:pStyle w:val="ListParagraph"/>
              <w:ind w:left="0"/>
              <w:jc w:val="both"/>
              <w:rPr>
                <w:rFonts w:cstheme="minorHAnsi"/>
                <w:b/>
                <w:sz w:val="18"/>
                <w:szCs w:val="18"/>
              </w:rPr>
            </w:pPr>
          </w:p>
        </w:tc>
        <w:tc>
          <w:tcPr>
            <w:tcW w:w="1750" w:type="pct"/>
          </w:tcPr>
          <w:p w14:paraId="00B318B3" w14:textId="4F934A66" w:rsidR="00CC4159" w:rsidRPr="00CC4159" w:rsidRDefault="00CC4159" w:rsidP="00CC4159">
            <w:pPr>
              <w:jc w:val="both"/>
              <w:rPr>
                <w:rFonts w:cstheme="minorHAnsi"/>
                <w:bCs/>
                <w:sz w:val="18"/>
                <w:szCs w:val="18"/>
              </w:rPr>
            </w:pPr>
            <w:r w:rsidRPr="00CC4159">
              <w:rPr>
                <w:sz w:val="18"/>
                <w:szCs w:val="18"/>
              </w:rPr>
              <w:t>Haloperidol, oral</w:t>
            </w:r>
          </w:p>
        </w:tc>
        <w:tc>
          <w:tcPr>
            <w:tcW w:w="1680" w:type="pct"/>
          </w:tcPr>
          <w:p w14:paraId="71C745B2" w14:textId="36569261" w:rsidR="00CC4159" w:rsidRPr="00CC4159" w:rsidRDefault="00CC4159" w:rsidP="00CC4159">
            <w:pPr>
              <w:jc w:val="both"/>
              <w:rPr>
                <w:rFonts w:cstheme="minorHAnsi"/>
                <w:sz w:val="18"/>
                <w:szCs w:val="18"/>
                <w:lang w:val="en-GB"/>
              </w:rPr>
            </w:pPr>
            <w:r w:rsidRPr="00CC4159">
              <w:rPr>
                <w:sz w:val="18"/>
                <w:szCs w:val="18"/>
              </w:rPr>
              <w:t>A</w:t>
            </w:r>
            <w:r w:rsidRPr="00CC4159">
              <w:rPr>
                <w:sz w:val="18"/>
                <w:szCs w:val="18"/>
              </w:rPr>
              <w:t>dded as follow-on therapy when patient can swallow</w:t>
            </w:r>
          </w:p>
        </w:tc>
      </w:tr>
      <w:tr w:rsidR="00F61BA0" w:rsidRPr="007966C6" w14:paraId="1A4E3752" w14:textId="77777777" w:rsidTr="00CC4159">
        <w:tc>
          <w:tcPr>
            <w:tcW w:w="1567" w:type="pct"/>
          </w:tcPr>
          <w:p w14:paraId="41FC33F8" w14:textId="5547A4E8" w:rsidR="00F61BA0" w:rsidRPr="00F14C59" w:rsidRDefault="00F14C59" w:rsidP="00F14C59">
            <w:pPr>
              <w:jc w:val="both"/>
              <w:rPr>
                <w:rFonts w:cstheme="minorHAnsi"/>
                <w:i/>
                <w:iCs/>
                <w:sz w:val="18"/>
                <w:szCs w:val="18"/>
                <w:lang w:val="en-GB"/>
              </w:rPr>
            </w:pPr>
            <w:r>
              <w:rPr>
                <w:rFonts w:cstheme="minorHAnsi"/>
                <w:i/>
                <w:iCs/>
                <w:sz w:val="18"/>
                <w:szCs w:val="18"/>
                <w:lang w:val="en-GB"/>
              </w:rPr>
              <w:t xml:space="preserve">- </w:t>
            </w:r>
            <w:r w:rsidRPr="00F14C59">
              <w:rPr>
                <w:rFonts w:cstheme="minorHAnsi"/>
                <w:i/>
                <w:iCs/>
                <w:sz w:val="18"/>
                <w:szCs w:val="18"/>
                <w:lang w:val="en-GB"/>
              </w:rPr>
              <w:t>Acute management: For substance withdrawal, Parkinson’s disease, or intolerability to olanzapine</w:t>
            </w:r>
          </w:p>
        </w:tc>
        <w:tc>
          <w:tcPr>
            <w:tcW w:w="1750" w:type="pct"/>
          </w:tcPr>
          <w:p w14:paraId="03627D60" w14:textId="14B4922B" w:rsidR="00F61BA0" w:rsidRDefault="00F14C59" w:rsidP="00F14C59">
            <w:pPr>
              <w:jc w:val="both"/>
              <w:rPr>
                <w:rFonts w:cstheme="minorHAnsi"/>
                <w:sz w:val="18"/>
                <w:szCs w:val="18"/>
                <w:lang w:val="en-GB"/>
              </w:rPr>
            </w:pPr>
            <w:r w:rsidRPr="00F14C59">
              <w:rPr>
                <w:rFonts w:cstheme="minorHAnsi"/>
                <w:sz w:val="18"/>
                <w:szCs w:val="18"/>
                <w:lang w:val="en-GB"/>
              </w:rPr>
              <w:t>Diazepam, IV</w:t>
            </w:r>
          </w:p>
        </w:tc>
        <w:tc>
          <w:tcPr>
            <w:tcW w:w="1683" w:type="pct"/>
            <w:gridSpan w:val="2"/>
          </w:tcPr>
          <w:p w14:paraId="74707BE7" w14:textId="2CFC72CE" w:rsidR="00F61BA0" w:rsidRDefault="00F14C59" w:rsidP="00175090">
            <w:pPr>
              <w:jc w:val="both"/>
              <w:rPr>
                <w:rFonts w:cstheme="minorHAnsi"/>
                <w:sz w:val="18"/>
                <w:szCs w:val="18"/>
                <w:lang w:val="en-GB"/>
              </w:rPr>
            </w:pPr>
            <w:r>
              <w:rPr>
                <w:rFonts w:cstheme="minorHAnsi"/>
                <w:sz w:val="18"/>
                <w:szCs w:val="18"/>
                <w:lang w:val="en-GB"/>
              </w:rPr>
              <w:t>Amended (directions for use)</w:t>
            </w:r>
          </w:p>
        </w:tc>
      </w:tr>
      <w:tr w:rsidR="0006500A" w:rsidRPr="007966C6" w14:paraId="7299ECA7" w14:textId="77777777" w:rsidTr="00CC4159">
        <w:tc>
          <w:tcPr>
            <w:tcW w:w="1567" w:type="pct"/>
          </w:tcPr>
          <w:p w14:paraId="00F53156" w14:textId="3D8A5601" w:rsidR="0006500A" w:rsidRDefault="0006500A" w:rsidP="00175090">
            <w:pPr>
              <w:rPr>
                <w:rFonts w:cstheme="minorHAnsi"/>
                <w:b/>
                <w:spacing w:val="-4"/>
                <w:sz w:val="18"/>
                <w:szCs w:val="18"/>
              </w:rPr>
            </w:pPr>
            <w:r>
              <w:rPr>
                <w:rFonts w:cstheme="minorHAnsi"/>
                <w:b/>
                <w:spacing w:val="-4"/>
                <w:sz w:val="18"/>
                <w:szCs w:val="18"/>
              </w:rPr>
              <w:t xml:space="preserve">- </w:t>
            </w:r>
            <w:r w:rsidR="00DF592A" w:rsidRPr="00DF592A">
              <w:rPr>
                <w:rFonts w:cstheme="minorHAnsi"/>
                <w:i/>
                <w:spacing w:val="-4"/>
                <w:sz w:val="18"/>
                <w:szCs w:val="18"/>
              </w:rPr>
              <w:t>If alcohol withdrawal/ Wernicke’s encephalopathy suspected:</w:t>
            </w:r>
          </w:p>
        </w:tc>
        <w:tc>
          <w:tcPr>
            <w:tcW w:w="1750" w:type="pct"/>
          </w:tcPr>
          <w:p w14:paraId="59726B5C" w14:textId="6483B550" w:rsidR="0006500A" w:rsidRDefault="0006500A" w:rsidP="00F36A37">
            <w:pPr>
              <w:jc w:val="both"/>
              <w:rPr>
                <w:rFonts w:cstheme="minorHAnsi"/>
                <w:sz w:val="18"/>
                <w:szCs w:val="18"/>
                <w:lang w:val="en-GB"/>
              </w:rPr>
            </w:pPr>
            <w:r>
              <w:rPr>
                <w:rFonts w:cstheme="minorHAnsi"/>
                <w:sz w:val="18"/>
                <w:szCs w:val="18"/>
                <w:lang w:val="en-GB"/>
              </w:rPr>
              <w:t xml:space="preserve">Thiamine, </w:t>
            </w:r>
            <w:r w:rsidR="00F36A37">
              <w:rPr>
                <w:rFonts w:cstheme="minorHAnsi"/>
                <w:sz w:val="18"/>
                <w:szCs w:val="18"/>
                <w:lang w:val="en-GB"/>
              </w:rPr>
              <w:t>parenteral</w:t>
            </w:r>
          </w:p>
        </w:tc>
        <w:tc>
          <w:tcPr>
            <w:tcW w:w="1683" w:type="pct"/>
            <w:gridSpan w:val="2"/>
          </w:tcPr>
          <w:p w14:paraId="158D8E54" w14:textId="57A137F7" w:rsidR="0006500A" w:rsidRDefault="00F36A37" w:rsidP="00175090">
            <w:pPr>
              <w:jc w:val="both"/>
              <w:rPr>
                <w:rFonts w:cstheme="minorHAnsi"/>
                <w:sz w:val="18"/>
                <w:szCs w:val="18"/>
                <w:lang w:val="en-GB" w:eastAsia="ar-SA"/>
              </w:rPr>
            </w:pPr>
            <w:r>
              <w:rPr>
                <w:rFonts w:cstheme="minorHAnsi"/>
                <w:sz w:val="18"/>
                <w:szCs w:val="18"/>
                <w:lang w:val="en-GB"/>
              </w:rPr>
              <w:t>D</w:t>
            </w:r>
            <w:r w:rsidRPr="00176748">
              <w:rPr>
                <w:rFonts w:cstheme="minorHAnsi"/>
                <w:sz w:val="18"/>
                <w:szCs w:val="18"/>
                <w:lang w:val="en-GB"/>
              </w:rPr>
              <w:t xml:space="preserve">ose </w:t>
            </w:r>
            <w:r>
              <w:rPr>
                <w:rFonts w:cstheme="minorHAnsi"/>
                <w:sz w:val="18"/>
                <w:szCs w:val="18"/>
                <w:lang w:val="en-GB"/>
              </w:rPr>
              <w:t xml:space="preserve">&amp; route of administration </w:t>
            </w:r>
            <w:r w:rsidRPr="00176748">
              <w:rPr>
                <w:rFonts w:cstheme="minorHAnsi"/>
                <w:sz w:val="18"/>
                <w:szCs w:val="18"/>
                <w:lang w:val="en-GB"/>
              </w:rPr>
              <w:t>amended</w:t>
            </w:r>
          </w:p>
        </w:tc>
      </w:tr>
      <w:tr w:rsidR="0006500A" w:rsidRPr="007966C6" w14:paraId="2DE67CA2" w14:textId="77777777" w:rsidTr="00CC4159">
        <w:tc>
          <w:tcPr>
            <w:tcW w:w="1567" w:type="pct"/>
          </w:tcPr>
          <w:p w14:paraId="01C156A0" w14:textId="3EE63372" w:rsidR="0006500A" w:rsidRDefault="0006500A" w:rsidP="00175090">
            <w:pPr>
              <w:rPr>
                <w:rFonts w:cstheme="minorHAnsi"/>
                <w:b/>
                <w:spacing w:val="-4"/>
                <w:sz w:val="18"/>
                <w:szCs w:val="18"/>
              </w:rPr>
            </w:pPr>
            <w:r>
              <w:rPr>
                <w:rFonts w:cstheme="minorHAnsi"/>
                <w:b/>
                <w:spacing w:val="-4"/>
                <w:sz w:val="18"/>
                <w:szCs w:val="18"/>
              </w:rPr>
              <w:t>2</w:t>
            </w:r>
            <w:r w:rsidR="00E42740">
              <w:rPr>
                <w:rFonts w:cstheme="minorHAnsi"/>
                <w:b/>
                <w:spacing w:val="-4"/>
                <w:sz w:val="18"/>
                <w:szCs w:val="18"/>
              </w:rPr>
              <w:t>0</w:t>
            </w:r>
            <w:r>
              <w:rPr>
                <w:rFonts w:cstheme="minorHAnsi"/>
                <w:b/>
                <w:spacing w:val="-4"/>
                <w:sz w:val="18"/>
                <w:szCs w:val="18"/>
              </w:rPr>
              <w:t>.</w:t>
            </w:r>
            <w:r w:rsidR="00E42740">
              <w:rPr>
                <w:rFonts w:cstheme="minorHAnsi"/>
                <w:b/>
                <w:spacing w:val="-4"/>
                <w:sz w:val="18"/>
                <w:szCs w:val="18"/>
              </w:rPr>
              <w:t>10</w:t>
            </w:r>
            <w:r>
              <w:rPr>
                <w:rFonts w:cstheme="minorHAnsi"/>
                <w:b/>
                <w:spacing w:val="-4"/>
                <w:sz w:val="18"/>
                <w:szCs w:val="18"/>
              </w:rPr>
              <w:t xml:space="preserve"> Pulmonary oedema, acute</w:t>
            </w:r>
          </w:p>
          <w:p w14:paraId="7124D964" w14:textId="1364A446" w:rsidR="0006500A" w:rsidRDefault="0006500A" w:rsidP="00175090">
            <w:pPr>
              <w:rPr>
                <w:rFonts w:cstheme="minorHAnsi"/>
                <w:b/>
                <w:spacing w:val="-4"/>
                <w:sz w:val="18"/>
                <w:szCs w:val="18"/>
              </w:rPr>
            </w:pPr>
            <w:r>
              <w:rPr>
                <w:rFonts w:cstheme="minorHAnsi"/>
                <w:b/>
                <w:spacing w:val="-4"/>
                <w:sz w:val="18"/>
                <w:szCs w:val="18"/>
              </w:rPr>
              <w:t xml:space="preserve">- </w:t>
            </w:r>
            <w:r w:rsidRPr="00176748">
              <w:rPr>
                <w:rFonts w:cstheme="minorHAnsi"/>
                <w:i/>
                <w:spacing w:val="-4"/>
                <w:sz w:val="18"/>
                <w:szCs w:val="18"/>
              </w:rPr>
              <w:t xml:space="preserve">If </w:t>
            </w:r>
            <w:r w:rsidR="00B14757">
              <w:rPr>
                <w:rFonts w:cstheme="minorHAnsi"/>
                <w:i/>
                <w:spacing w:val="-4"/>
                <w:sz w:val="18"/>
                <w:szCs w:val="18"/>
              </w:rPr>
              <w:t>distressed consider adding morphine</w:t>
            </w:r>
          </w:p>
        </w:tc>
        <w:tc>
          <w:tcPr>
            <w:tcW w:w="1750" w:type="pct"/>
          </w:tcPr>
          <w:p w14:paraId="2DB4C40C" w14:textId="77777777" w:rsidR="0006500A" w:rsidRDefault="0006500A" w:rsidP="00175090">
            <w:pPr>
              <w:jc w:val="both"/>
              <w:rPr>
                <w:rFonts w:cstheme="minorHAnsi"/>
                <w:sz w:val="18"/>
                <w:szCs w:val="18"/>
                <w:lang w:val="en-GB"/>
              </w:rPr>
            </w:pPr>
            <w:r>
              <w:rPr>
                <w:rFonts w:cstheme="minorHAnsi"/>
                <w:sz w:val="18"/>
                <w:szCs w:val="18"/>
                <w:lang w:val="en-GB"/>
              </w:rPr>
              <w:t>Morphine, IV</w:t>
            </w:r>
          </w:p>
        </w:tc>
        <w:tc>
          <w:tcPr>
            <w:tcW w:w="1683" w:type="pct"/>
            <w:gridSpan w:val="2"/>
          </w:tcPr>
          <w:p w14:paraId="0AD1CE5D" w14:textId="6B57132B" w:rsidR="0006500A" w:rsidRDefault="0006500A" w:rsidP="00175090">
            <w:pPr>
              <w:jc w:val="both"/>
              <w:rPr>
                <w:rFonts w:cstheme="minorHAnsi"/>
                <w:sz w:val="18"/>
                <w:szCs w:val="18"/>
                <w:lang w:val="en-GB" w:eastAsia="ar-SA"/>
              </w:rPr>
            </w:pPr>
            <w:r>
              <w:rPr>
                <w:rFonts w:cstheme="minorHAnsi"/>
                <w:sz w:val="18"/>
                <w:szCs w:val="18"/>
                <w:lang w:val="en-GB" w:eastAsia="ar-SA"/>
              </w:rPr>
              <w:t>Deleted</w:t>
            </w:r>
            <w:r w:rsidR="006D2CA9">
              <w:rPr>
                <w:rFonts w:cstheme="minorHAnsi"/>
                <w:sz w:val="18"/>
                <w:szCs w:val="18"/>
                <w:lang w:val="en-GB" w:eastAsia="ar-SA"/>
              </w:rPr>
              <w:t xml:space="preserve"> &amp; caution added to the STG</w:t>
            </w:r>
          </w:p>
        </w:tc>
      </w:tr>
      <w:tr w:rsidR="00DC2546" w:rsidRPr="007966C6" w14:paraId="53D952B3" w14:textId="77777777" w:rsidTr="00CC4159">
        <w:tc>
          <w:tcPr>
            <w:tcW w:w="1567" w:type="pct"/>
          </w:tcPr>
          <w:p w14:paraId="76EE76E2" w14:textId="630DB040" w:rsidR="00DC2546" w:rsidRDefault="00DC2546" w:rsidP="00175090">
            <w:pPr>
              <w:rPr>
                <w:rFonts w:cstheme="minorHAnsi"/>
                <w:b/>
                <w:spacing w:val="-4"/>
                <w:sz w:val="18"/>
                <w:szCs w:val="18"/>
              </w:rPr>
            </w:pPr>
            <w:r>
              <w:rPr>
                <w:rFonts w:cstheme="minorHAnsi"/>
                <w:b/>
                <w:spacing w:val="-4"/>
                <w:sz w:val="18"/>
                <w:szCs w:val="18"/>
              </w:rPr>
              <w:t>20.16 Burns</w:t>
            </w:r>
          </w:p>
        </w:tc>
        <w:tc>
          <w:tcPr>
            <w:tcW w:w="1750" w:type="pct"/>
          </w:tcPr>
          <w:p w14:paraId="3553B4F6" w14:textId="5398AB54" w:rsidR="00DC2546" w:rsidRDefault="00DC2546" w:rsidP="00175090">
            <w:pPr>
              <w:jc w:val="both"/>
              <w:rPr>
                <w:rFonts w:cstheme="minorHAnsi"/>
                <w:sz w:val="18"/>
                <w:szCs w:val="18"/>
                <w:lang w:val="en-GB"/>
              </w:rPr>
            </w:pPr>
            <w:r w:rsidRPr="00222ECC">
              <w:rPr>
                <w:rFonts w:cstheme="minorHAnsi"/>
                <w:sz w:val="18"/>
                <w:szCs w:val="18"/>
                <w:lang w:val="en-GB"/>
              </w:rPr>
              <w:t>Figure to calculate body surface area % in children &lt; 8 years</w:t>
            </w:r>
          </w:p>
        </w:tc>
        <w:tc>
          <w:tcPr>
            <w:tcW w:w="1683" w:type="pct"/>
            <w:gridSpan w:val="2"/>
          </w:tcPr>
          <w:p w14:paraId="67521AC1" w14:textId="7C77E9CD" w:rsidR="00DC2546" w:rsidRDefault="00DC2546" w:rsidP="00175090">
            <w:pPr>
              <w:jc w:val="both"/>
              <w:rPr>
                <w:rFonts w:cstheme="minorHAnsi"/>
                <w:sz w:val="18"/>
                <w:szCs w:val="18"/>
                <w:lang w:val="en-GB" w:eastAsia="ar-SA"/>
              </w:rPr>
            </w:pPr>
            <w:r>
              <w:rPr>
                <w:rFonts w:cstheme="minorHAnsi"/>
                <w:sz w:val="18"/>
                <w:szCs w:val="18"/>
                <w:lang w:val="en-GB" w:eastAsia="ar-SA"/>
              </w:rPr>
              <w:t>Deleted</w:t>
            </w:r>
          </w:p>
        </w:tc>
      </w:tr>
      <w:tr w:rsidR="00DC2546" w:rsidRPr="007966C6" w14:paraId="0CDCB74B" w14:textId="77777777" w:rsidTr="00CC4159">
        <w:tc>
          <w:tcPr>
            <w:tcW w:w="1567" w:type="pct"/>
            <w:vMerge w:val="restart"/>
          </w:tcPr>
          <w:p w14:paraId="03CF388E" w14:textId="7D3BA38D" w:rsidR="00DC2546" w:rsidRDefault="00DC2546" w:rsidP="00DC2546">
            <w:pPr>
              <w:rPr>
                <w:rFonts w:cstheme="minorHAnsi"/>
                <w:b/>
                <w:spacing w:val="-4"/>
                <w:sz w:val="18"/>
                <w:szCs w:val="18"/>
              </w:rPr>
            </w:pPr>
            <w:r>
              <w:rPr>
                <w:rFonts w:cstheme="minorHAnsi"/>
                <w:b/>
                <w:spacing w:val="-4"/>
                <w:sz w:val="18"/>
                <w:szCs w:val="18"/>
              </w:rPr>
              <w:t>- S</w:t>
            </w:r>
            <w:r w:rsidRPr="00DC2546">
              <w:rPr>
                <w:rFonts w:cstheme="minorHAnsi"/>
                <w:bCs/>
                <w:i/>
                <w:iCs/>
                <w:spacing w:val="-4"/>
                <w:sz w:val="18"/>
                <w:szCs w:val="18"/>
              </w:rPr>
              <w:t>eptic burns</w:t>
            </w:r>
          </w:p>
        </w:tc>
        <w:tc>
          <w:tcPr>
            <w:tcW w:w="1750" w:type="pct"/>
          </w:tcPr>
          <w:p w14:paraId="3FB9644C" w14:textId="3D165E7E" w:rsidR="00DC2546" w:rsidRPr="00DC2546" w:rsidRDefault="00DC2546" w:rsidP="00DC2546">
            <w:pPr>
              <w:jc w:val="both"/>
              <w:rPr>
                <w:rFonts w:cstheme="minorHAnsi"/>
                <w:sz w:val="18"/>
                <w:szCs w:val="18"/>
                <w:lang w:val="en-GB"/>
              </w:rPr>
            </w:pPr>
            <w:r w:rsidRPr="00DC2546">
              <w:rPr>
                <w:sz w:val="18"/>
                <w:szCs w:val="18"/>
              </w:rPr>
              <w:t xml:space="preserve">Povidone iodine, topical </w:t>
            </w:r>
          </w:p>
        </w:tc>
        <w:tc>
          <w:tcPr>
            <w:tcW w:w="1683" w:type="pct"/>
            <w:gridSpan w:val="2"/>
          </w:tcPr>
          <w:p w14:paraId="464980BD" w14:textId="1E33D4F4" w:rsidR="00DC2546" w:rsidRPr="00DC2546" w:rsidRDefault="00DC2546" w:rsidP="00DC2546">
            <w:pPr>
              <w:jc w:val="both"/>
              <w:rPr>
                <w:rFonts w:cstheme="minorHAnsi"/>
                <w:sz w:val="18"/>
                <w:szCs w:val="18"/>
                <w:lang w:val="en-GB" w:eastAsia="ar-SA"/>
              </w:rPr>
            </w:pPr>
            <w:r w:rsidRPr="00DC2546">
              <w:rPr>
                <w:rFonts w:cstheme="minorHAnsi"/>
                <w:sz w:val="18"/>
                <w:szCs w:val="18"/>
                <w:lang w:val="en-GB" w:eastAsia="ar-SA"/>
              </w:rPr>
              <w:t>Retained</w:t>
            </w:r>
          </w:p>
        </w:tc>
      </w:tr>
      <w:tr w:rsidR="00DC2546" w:rsidRPr="007966C6" w14:paraId="745DC855" w14:textId="77777777" w:rsidTr="00CC4159">
        <w:tc>
          <w:tcPr>
            <w:tcW w:w="1567" w:type="pct"/>
            <w:vMerge/>
          </w:tcPr>
          <w:p w14:paraId="0A70698D" w14:textId="77777777" w:rsidR="00DC2546" w:rsidRDefault="00DC2546" w:rsidP="00DC2546">
            <w:pPr>
              <w:rPr>
                <w:rFonts w:cstheme="minorHAnsi"/>
                <w:b/>
                <w:spacing w:val="-4"/>
                <w:sz w:val="18"/>
                <w:szCs w:val="18"/>
              </w:rPr>
            </w:pPr>
          </w:p>
        </w:tc>
        <w:tc>
          <w:tcPr>
            <w:tcW w:w="1750" w:type="pct"/>
          </w:tcPr>
          <w:p w14:paraId="158E0DA2" w14:textId="457D4B90" w:rsidR="00DC2546" w:rsidRPr="00DC2546" w:rsidRDefault="00DC2546" w:rsidP="00DC2546">
            <w:pPr>
              <w:jc w:val="both"/>
              <w:rPr>
                <w:rFonts w:cstheme="minorHAnsi"/>
                <w:sz w:val="18"/>
                <w:szCs w:val="18"/>
                <w:lang w:val="en-GB"/>
              </w:rPr>
            </w:pPr>
            <w:r w:rsidRPr="00DC2546">
              <w:rPr>
                <w:sz w:val="18"/>
                <w:szCs w:val="18"/>
              </w:rPr>
              <w:t>Silver sulfadiazine, topical</w:t>
            </w:r>
          </w:p>
        </w:tc>
        <w:tc>
          <w:tcPr>
            <w:tcW w:w="1683" w:type="pct"/>
            <w:gridSpan w:val="2"/>
          </w:tcPr>
          <w:p w14:paraId="05ADB74D" w14:textId="72C8B29E" w:rsidR="00DC2546" w:rsidRPr="00DC2546" w:rsidRDefault="00DC2546" w:rsidP="00DC2546">
            <w:pPr>
              <w:jc w:val="both"/>
              <w:rPr>
                <w:rFonts w:cstheme="minorHAnsi"/>
                <w:sz w:val="18"/>
                <w:szCs w:val="18"/>
                <w:lang w:val="en-GB" w:eastAsia="ar-SA"/>
              </w:rPr>
            </w:pPr>
            <w:r w:rsidRPr="00DC2546">
              <w:rPr>
                <w:rFonts w:cstheme="minorHAnsi"/>
                <w:sz w:val="18"/>
                <w:szCs w:val="18"/>
                <w:lang w:val="en-GB"/>
              </w:rPr>
              <w:t>Not added</w:t>
            </w:r>
          </w:p>
        </w:tc>
      </w:tr>
      <w:tr w:rsidR="00DC2546" w:rsidRPr="007966C6" w14:paraId="18B99C32" w14:textId="77777777" w:rsidTr="00CC4159">
        <w:tc>
          <w:tcPr>
            <w:tcW w:w="1567" w:type="pct"/>
            <w:vMerge/>
          </w:tcPr>
          <w:p w14:paraId="54852C9D" w14:textId="77777777" w:rsidR="00DC2546" w:rsidRDefault="00DC2546" w:rsidP="00DC2546">
            <w:pPr>
              <w:rPr>
                <w:rFonts w:cstheme="minorHAnsi"/>
                <w:b/>
                <w:spacing w:val="-4"/>
                <w:sz w:val="18"/>
                <w:szCs w:val="18"/>
              </w:rPr>
            </w:pPr>
          </w:p>
        </w:tc>
        <w:tc>
          <w:tcPr>
            <w:tcW w:w="1750" w:type="pct"/>
          </w:tcPr>
          <w:p w14:paraId="140D6AF7" w14:textId="18795967" w:rsidR="00DC2546" w:rsidRPr="00DC2546" w:rsidRDefault="00DC2546" w:rsidP="00DC2546">
            <w:pPr>
              <w:jc w:val="both"/>
              <w:rPr>
                <w:rFonts w:cstheme="minorHAnsi"/>
                <w:sz w:val="18"/>
                <w:szCs w:val="18"/>
                <w:lang w:val="en-GB"/>
              </w:rPr>
            </w:pPr>
            <w:r w:rsidRPr="00DC2546">
              <w:rPr>
                <w:sz w:val="18"/>
                <w:szCs w:val="18"/>
              </w:rPr>
              <w:t>Mupirocin, topical</w:t>
            </w:r>
          </w:p>
        </w:tc>
        <w:tc>
          <w:tcPr>
            <w:tcW w:w="1683" w:type="pct"/>
            <w:gridSpan w:val="2"/>
          </w:tcPr>
          <w:p w14:paraId="61CD36BB" w14:textId="02677D98" w:rsidR="00DC2546" w:rsidRPr="00DC2546" w:rsidRDefault="00DC2546" w:rsidP="00DC2546">
            <w:pPr>
              <w:jc w:val="both"/>
              <w:rPr>
                <w:rFonts w:cstheme="minorHAnsi"/>
                <w:sz w:val="18"/>
                <w:szCs w:val="18"/>
                <w:lang w:val="en-GB" w:eastAsia="ar-SA"/>
              </w:rPr>
            </w:pPr>
            <w:r w:rsidRPr="00DC2546">
              <w:rPr>
                <w:rFonts w:cstheme="minorHAnsi"/>
                <w:sz w:val="18"/>
                <w:szCs w:val="18"/>
                <w:lang w:val="en-GB"/>
              </w:rPr>
              <w:t>Not added</w:t>
            </w:r>
          </w:p>
        </w:tc>
      </w:tr>
      <w:tr w:rsidR="00DC2546" w:rsidRPr="007966C6" w14:paraId="20343729" w14:textId="77777777" w:rsidTr="00CC4159">
        <w:tc>
          <w:tcPr>
            <w:tcW w:w="1567" w:type="pct"/>
            <w:vMerge/>
          </w:tcPr>
          <w:p w14:paraId="23A9F219" w14:textId="77777777" w:rsidR="00DC2546" w:rsidRDefault="00DC2546" w:rsidP="00DC2546">
            <w:pPr>
              <w:rPr>
                <w:rFonts w:cstheme="minorHAnsi"/>
                <w:b/>
                <w:spacing w:val="-4"/>
                <w:sz w:val="18"/>
                <w:szCs w:val="18"/>
              </w:rPr>
            </w:pPr>
          </w:p>
        </w:tc>
        <w:tc>
          <w:tcPr>
            <w:tcW w:w="1750" w:type="pct"/>
          </w:tcPr>
          <w:p w14:paraId="49B96AF2" w14:textId="5749D409" w:rsidR="00DC2546" w:rsidRPr="00DC2546" w:rsidRDefault="00DC2546" w:rsidP="00DC2546">
            <w:pPr>
              <w:jc w:val="both"/>
              <w:rPr>
                <w:rFonts w:cstheme="minorHAnsi"/>
                <w:sz w:val="18"/>
                <w:szCs w:val="18"/>
                <w:lang w:val="en-GB"/>
              </w:rPr>
            </w:pPr>
            <w:r w:rsidRPr="00DC2546">
              <w:rPr>
                <w:sz w:val="18"/>
                <w:szCs w:val="18"/>
              </w:rPr>
              <w:t>Nano‐crystalline dressings</w:t>
            </w:r>
          </w:p>
        </w:tc>
        <w:tc>
          <w:tcPr>
            <w:tcW w:w="1683" w:type="pct"/>
            <w:gridSpan w:val="2"/>
          </w:tcPr>
          <w:p w14:paraId="694892CA" w14:textId="4658305E" w:rsidR="00DC2546" w:rsidRPr="00DC2546" w:rsidRDefault="00DC2546" w:rsidP="00DC2546">
            <w:pPr>
              <w:jc w:val="both"/>
              <w:rPr>
                <w:rFonts w:cstheme="minorHAnsi"/>
                <w:sz w:val="18"/>
                <w:szCs w:val="18"/>
                <w:lang w:val="en-GB" w:eastAsia="ar-SA"/>
              </w:rPr>
            </w:pPr>
            <w:r w:rsidRPr="00DC2546">
              <w:rPr>
                <w:rFonts w:cstheme="minorHAnsi"/>
                <w:sz w:val="18"/>
                <w:szCs w:val="18"/>
                <w:lang w:val="en-GB"/>
              </w:rPr>
              <w:t>Not added</w:t>
            </w:r>
          </w:p>
        </w:tc>
      </w:tr>
      <w:tr w:rsidR="00DC2546" w:rsidRPr="007966C6" w14:paraId="53FC5FDE" w14:textId="77777777" w:rsidTr="00CC4159">
        <w:tc>
          <w:tcPr>
            <w:tcW w:w="1567" w:type="pct"/>
            <w:vMerge/>
          </w:tcPr>
          <w:p w14:paraId="0E34E954" w14:textId="77777777" w:rsidR="00DC2546" w:rsidRDefault="00DC2546" w:rsidP="00DC2546">
            <w:pPr>
              <w:rPr>
                <w:rFonts w:cstheme="minorHAnsi"/>
                <w:b/>
                <w:spacing w:val="-4"/>
                <w:sz w:val="18"/>
                <w:szCs w:val="18"/>
              </w:rPr>
            </w:pPr>
          </w:p>
        </w:tc>
        <w:tc>
          <w:tcPr>
            <w:tcW w:w="1750" w:type="pct"/>
          </w:tcPr>
          <w:p w14:paraId="1EE7EF4B" w14:textId="4044617D" w:rsidR="00DC2546" w:rsidRPr="00DC2546" w:rsidRDefault="00DC2546" w:rsidP="00DC2546">
            <w:pPr>
              <w:jc w:val="both"/>
              <w:rPr>
                <w:rFonts w:cstheme="minorHAnsi"/>
                <w:sz w:val="18"/>
                <w:szCs w:val="18"/>
                <w:lang w:val="en-GB"/>
              </w:rPr>
            </w:pPr>
            <w:r w:rsidRPr="00DC2546">
              <w:rPr>
                <w:sz w:val="18"/>
                <w:szCs w:val="18"/>
              </w:rPr>
              <w:t>Melaleuca alternifolia, topical</w:t>
            </w:r>
          </w:p>
        </w:tc>
        <w:tc>
          <w:tcPr>
            <w:tcW w:w="1683" w:type="pct"/>
            <w:gridSpan w:val="2"/>
          </w:tcPr>
          <w:p w14:paraId="42D3D76E" w14:textId="1A5CBC00" w:rsidR="00DC2546" w:rsidRPr="00DC2546" w:rsidRDefault="00DC2546" w:rsidP="00DC2546">
            <w:pPr>
              <w:jc w:val="both"/>
              <w:rPr>
                <w:rFonts w:cstheme="minorHAnsi"/>
                <w:sz w:val="18"/>
                <w:szCs w:val="18"/>
                <w:lang w:val="en-GB" w:eastAsia="ar-SA"/>
              </w:rPr>
            </w:pPr>
            <w:r w:rsidRPr="00DC2546">
              <w:rPr>
                <w:rFonts w:cstheme="minorHAnsi"/>
                <w:sz w:val="18"/>
                <w:szCs w:val="18"/>
                <w:lang w:val="en-GB"/>
              </w:rPr>
              <w:t>Not added</w:t>
            </w:r>
          </w:p>
        </w:tc>
      </w:tr>
      <w:tr w:rsidR="00DC2546" w:rsidRPr="007966C6" w14:paraId="02CF5527" w14:textId="77777777" w:rsidTr="00CC4159">
        <w:tc>
          <w:tcPr>
            <w:tcW w:w="1567" w:type="pct"/>
            <w:vMerge/>
          </w:tcPr>
          <w:p w14:paraId="5E8DE7AB" w14:textId="77777777" w:rsidR="00DC2546" w:rsidRDefault="00DC2546" w:rsidP="00DC2546">
            <w:pPr>
              <w:rPr>
                <w:rFonts w:cstheme="minorHAnsi"/>
                <w:b/>
                <w:spacing w:val="-4"/>
                <w:sz w:val="18"/>
                <w:szCs w:val="18"/>
              </w:rPr>
            </w:pPr>
          </w:p>
        </w:tc>
        <w:tc>
          <w:tcPr>
            <w:tcW w:w="1750" w:type="pct"/>
          </w:tcPr>
          <w:p w14:paraId="04FD8675" w14:textId="72A4F954" w:rsidR="00DC2546" w:rsidRPr="00DC2546" w:rsidRDefault="00DC2546" w:rsidP="00DC2546">
            <w:pPr>
              <w:jc w:val="both"/>
              <w:rPr>
                <w:rFonts w:cstheme="minorHAnsi"/>
                <w:sz w:val="18"/>
                <w:szCs w:val="18"/>
                <w:lang w:val="en-GB"/>
              </w:rPr>
            </w:pPr>
            <w:r w:rsidRPr="00DC2546">
              <w:rPr>
                <w:sz w:val="18"/>
                <w:szCs w:val="18"/>
              </w:rPr>
              <w:t xml:space="preserve">Povidone iodine, topical </w:t>
            </w:r>
          </w:p>
        </w:tc>
        <w:tc>
          <w:tcPr>
            <w:tcW w:w="1683" w:type="pct"/>
            <w:gridSpan w:val="2"/>
          </w:tcPr>
          <w:p w14:paraId="0D1BE93C" w14:textId="3DFE0799" w:rsidR="00DC2546" w:rsidRPr="00DC2546" w:rsidRDefault="00DC2546" w:rsidP="00DC2546">
            <w:pPr>
              <w:jc w:val="both"/>
              <w:rPr>
                <w:rFonts w:cstheme="minorHAnsi"/>
                <w:sz w:val="18"/>
                <w:szCs w:val="18"/>
                <w:lang w:val="en-GB" w:eastAsia="ar-SA"/>
              </w:rPr>
            </w:pPr>
            <w:r w:rsidRPr="00DC2546">
              <w:rPr>
                <w:rFonts w:cstheme="minorHAnsi"/>
                <w:sz w:val="18"/>
                <w:szCs w:val="18"/>
                <w:lang w:val="en-GB" w:eastAsia="ar-SA"/>
              </w:rPr>
              <w:t>Retained</w:t>
            </w:r>
          </w:p>
        </w:tc>
      </w:tr>
    </w:tbl>
    <w:p w14:paraId="4C8277DA" w14:textId="19A66266" w:rsidR="002D4498" w:rsidRDefault="002D4498" w:rsidP="00360E06">
      <w:pPr>
        <w:widowControl w:val="0"/>
        <w:autoSpaceDE w:val="0"/>
        <w:autoSpaceDN w:val="0"/>
        <w:adjustRightInd w:val="0"/>
        <w:spacing w:after="0" w:line="240" w:lineRule="auto"/>
        <w:jc w:val="both"/>
        <w:rPr>
          <w:rFonts w:ascii="Calibri" w:eastAsia="Calibri" w:hAnsi="Calibri" w:cs="Calibri"/>
          <w:lang w:eastAsia="ar-SA"/>
        </w:rPr>
      </w:pPr>
    </w:p>
    <w:p w14:paraId="1F19AA9D" w14:textId="16163BD7" w:rsidR="00DB6698" w:rsidRDefault="00DB6698" w:rsidP="00360E06">
      <w:pPr>
        <w:widowControl w:val="0"/>
        <w:autoSpaceDE w:val="0"/>
        <w:autoSpaceDN w:val="0"/>
        <w:adjustRightInd w:val="0"/>
        <w:spacing w:after="0" w:line="240" w:lineRule="auto"/>
        <w:jc w:val="both"/>
        <w:rPr>
          <w:rFonts w:ascii="Calibri" w:eastAsia="Calibri" w:hAnsi="Calibri" w:cs="Calibri"/>
          <w:lang w:eastAsia="ar-SA"/>
        </w:rPr>
      </w:pPr>
    </w:p>
    <w:tbl>
      <w:tblPr>
        <w:tblW w:w="5000" w:type="pct"/>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ook w:val="00A0" w:firstRow="1" w:lastRow="0" w:firstColumn="1" w:lastColumn="0" w:noHBand="0" w:noVBand="0"/>
      </w:tblPr>
      <w:tblGrid>
        <w:gridCol w:w="10436"/>
      </w:tblGrid>
      <w:tr w:rsidR="002D4498" w:rsidRPr="00600007" w14:paraId="34E757DB" w14:textId="77777777" w:rsidTr="002D4498">
        <w:tc>
          <w:tcPr>
            <w:tcW w:w="5000" w:type="pct"/>
            <w:tcBorders>
              <w:top w:val="double" w:sz="4" w:space="0" w:color="C0C0C0"/>
              <w:left w:val="double" w:sz="4" w:space="0" w:color="C0C0C0"/>
              <w:bottom w:val="double" w:sz="4" w:space="0" w:color="C0C0C0"/>
              <w:right w:val="double" w:sz="4" w:space="0" w:color="C0C0C0"/>
            </w:tcBorders>
          </w:tcPr>
          <w:p w14:paraId="3923FE80" w14:textId="0A7A5ECC" w:rsidR="002D4498" w:rsidRPr="00600007" w:rsidRDefault="0005374A" w:rsidP="0005374A">
            <w:pPr>
              <w:widowControl w:val="0"/>
              <w:autoSpaceDE w:val="0"/>
              <w:autoSpaceDN w:val="0"/>
              <w:adjustRightInd w:val="0"/>
              <w:spacing w:before="120" w:after="120" w:line="240" w:lineRule="auto"/>
              <w:rPr>
                <w:rFonts w:cs="Calibri"/>
                <w:b/>
                <w:lang w:val="en-GB"/>
              </w:rPr>
            </w:pPr>
            <w:r w:rsidRPr="0005374A">
              <w:rPr>
                <w:rFonts w:cs="Calibri"/>
                <w:b/>
                <w:spacing w:val="-4"/>
                <w:szCs w:val="20"/>
                <w:lang w:val="en-GB"/>
              </w:rPr>
              <w:t>CARDI</w:t>
            </w:r>
            <w:r w:rsidR="00EF6C47">
              <w:rPr>
                <w:rFonts w:cs="Calibri"/>
                <w:b/>
                <w:spacing w:val="-4"/>
                <w:szCs w:val="20"/>
                <w:lang w:val="en-GB"/>
              </w:rPr>
              <w:t>OPULMONARY RESUSCITATION</w:t>
            </w:r>
          </w:p>
        </w:tc>
      </w:tr>
    </w:tbl>
    <w:p w14:paraId="45F7719A" w14:textId="77777777" w:rsidR="0005374A" w:rsidRDefault="0005374A" w:rsidP="002D4498">
      <w:pPr>
        <w:pStyle w:val="ListParagraph"/>
        <w:spacing w:after="0" w:line="240" w:lineRule="auto"/>
        <w:ind w:left="0"/>
        <w:jc w:val="both"/>
        <w:rPr>
          <w:rFonts w:cstheme="minorHAnsi"/>
          <w:b/>
        </w:rPr>
      </w:pPr>
      <w:r>
        <w:rPr>
          <w:rFonts w:cstheme="minorHAnsi"/>
          <w:b/>
        </w:rPr>
        <w:t>COVID-19 considerations</w:t>
      </w:r>
    </w:p>
    <w:p w14:paraId="435620AB" w14:textId="77777777" w:rsidR="00762942" w:rsidRDefault="00762942" w:rsidP="00762942">
      <w:pPr>
        <w:pStyle w:val="ListParagraph"/>
        <w:spacing w:after="0" w:line="240" w:lineRule="auto"/>
        <w:ind w:left="0"/>
        <w:jc w:val="both"/>
        <w:rPr>
          <w:rFonts w:cstheme="minorHAnsi"/>
        </w:rPr>
      </w:pPr>
      <w:r>
        <w:rPr>
          <w:rFonts w:cstheme="minorHAnsi"/>
        </w:rPr>
        <w:t>Similar to the NEMLC-approved PHC emergencies and injuries chapter</w:t>
      </w:r>
      <w:r>
        <w:rPr>
          <w:rStyle w:val="FootnoteReference"/>
          <w:rFonts w:cstheme="minorHAnsi"/>
        </w:rPr>
        <w:footnoteReference w:id="2"/>
      </w:r>
      <w:r>
        <w:rPr>
          <w:rFonts w:cstheme="minorHAnsi"/>
        </w:rPr>
        <w:t>, the STG text was updated.</w:t>
      </w:r>
    </w:p>
    <w:p w14:paraId="768065E5" w14:textId="77777777" w:rsidR="00762942" w:rsidRDefault="00762942" w:rsidP="002D4498">
      <w:pPr>
        <w:pStyle w:val="ListParagraph"/>
        <w:spacing w:after="0" w:line="240" w:lineRule="auto"/>
        <w:ind w:left="0"/>
        <w:jc w:val="both"/>
        <w:rPr>
          <w:rFonts w:cstheme="minorHAnsi"/>
          <w:u w:val="single"/>
        </w:rPr>
      </w:pPr>
    </w:p>
    <w:p w14:paraId="70988A0F" w14:textId="31D293E4" w:rsidR="0005374A" w:rsidRDefault="0005374A" w:rsidP="002D4498">
      <w:pPr>
        <w:pStyle w:val="ListParagraph"/>
        <w:spacing w:after="0" w:line="240" w:lineRule="auto"/>
        <w:ind w:left="0"/>
        <w:jc w:val="both"/>
        <w:rPr>
          <w:rFonts w:cstheme="minorHAnsi"/>
          <w:i/>
        </w:rPr>
      </w:pPr>
      <w:r w:rsidRPr="0005374A">
        <w:rPr>
          <w:rFonts w:cstheme="minorHAnsi"/>
          <w:u w:val="single"/>
        </w:rPr>
        <w:t>Cardiac arrest algorithm for suspected communicable diseases:</w:t>
      </w:r>
      <w:r>
        <w:rPr>
          <w:rFonts w:cstheme="minorHAnsi"/>
          <w:b/>
        </w:rPr>
        <w:t xml:space="preserve"> </w:t>
      </w:r>
      <w:r w:rsidRPr="0005374A">
        <w:rPr>
          <w:rFonts w:cstheme="minorHAnsi"/>
          <w:i/>
        </w:rPr>
        <w:t>added</w:t>
      </w:r>
    </w:p>
    <w:p w14:paraId="7C8D2939" w14:textId="366D7C7E" w:rsidR="0005374A" w:rsidRDefault="0005374A" w:rsidP="002D4498">
      <w:pPr>
        <w:pStyle w:val="ListParagraph"/>
        <w:spacing w:after="0" w:line="240" w:lineRule="auto"/>
        <w:ind w:left="0"/>
        <w:jc w:val="both"/>
        <w:rPr>
          <w:rFonts w:cstheme="minorHAnsi"/>
        </w:rPr>
      </w:pPr>
      <w:r>
        <w:rPr>
          <w:rFonts w:cstheme="minorHAnsi"/>
        </w:rPr>
        <w:t>Resuscitation Council of South Africa’s “</w:t>
      </w:r>
      <w:r w:rsidRPr="0005374A">
        <w:rPr>
          <w:rFonts w:cstheme="minorHAnsi"/>
        </w:rPr>
        <w:t>Advanced cardiac arrest algorithm - suspected respiratory communicable disease</w:t>
      </w:r>
      <w:r>
        <w:rPr>
          <w:rFonts w:cstheme="minorHAnsi"/>
        </w:rPr>
        <w:t>”,</w:t>
      </w:r>
      <w:r>
        <w:rPr>
          <w:rStyle w:val="FootnoteReference"/>
          <w:rFonts w:cstheme="minorHAnsi"/>
        </w:rPr>
        <w:footnoteReference w:id="3"/>
      </w:r>
      <w:r>
        <w:rPr>
          <w:rFonts w:cstheme="minorHAnsi"/>
        </w:rPr>
        <w:t xml:space="preserve"> </w:t>
      </w:r>
      <w:r w:rsidRPr="0005374A">
        <w:rPr>
          <w:rFonts w:cstheme="minorHAnsi"/>
        </w:rPr>
        <w:t xml:space="preserve">adapted with permission </w:t>
      </w:r>
      <w:r>
        <w:rPr>
          <w:rFonts w:cstheme="minorHAnsi"/>
        </w:rPr>
        <w:t>was included in this section</w:t>
      </w:r>
      <w:r w:rsidR="00E93624">
        <w:rPr>
          <w:rFonts w:cstheme="minorHAnsi"/>
        </w:rPr>
        <w:t xml:space="preserve"> – see page </w:t>
      </w:r>
      <w:r w:rsidR="0006500A">
        <w:rPr>
          <w:rFonts w:cstheme="minorHAnsi"/>
        </w:rPr>
        <w:t>3</w:t>
      </w:r>
      <w:r>
        <w:rPr>
          <w:rFonts w:cstheme="minorHAnsi"/>
        </w:rPr>
        <w:t>.</w:t>
      </w:r>
    </w:p>
    <w:p w14:paraId="214DBE53" w14:textId="77777777" w:rsidR="00454591" w:rsidRDefault="00454591" w:rsidP="002D4498">
      <w:pPr>
        <w:pStyle w:val="ListParagraph"/>
        <w:spacing w:after="0" w:line="240" w:lineRule="auto"/>
        <w:ind w:left="0"/>
        <w:jc w:val="both"/>
        <w:rPr>
          <w:rFonts w:cstheme="minorHAnsi"/>
        </w:rPr>
      </w:pPr>
    </w:p>
    <w:p w14:paraId="6E22397A" w14:textId="2E0D9C47" w:rsidR="0005374A" w:rsidRDefault="0005374A" w:rsidP="002D4498">
      <w:pPr>
        <w:pStyle w:val="ListParagraph"/>
        <w:spacing w:after="0" w:line="240" w:lineRule="auto"/>
        <w:ind w:left="0"/>
        <w:jc w:val="both"/>
        <w:rPr>
          <w:rFonts w:cstheme="minorHAnsi"/>
        </w:rPr>
      </w:pPr>
    </w:p>
    <w:tbl>
      <w:tblPr>
        <w:tblW w:w="5000" w:type="pct"/>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ook w:val="00A0" w:firstRow="1" w:lastRow="0" w:firstColumn="1" w:lastColumn="0" w:noHBand="0" w:noVBand="0"/>
      </w:tblPr>
      <w:tblGrid>
        <w:gridCol w:w="10436"/>
      </w:tblGrid>
      <w:tr w:rsidR="00EF6C47" w:rsidRPr="00600007" w14:paraId="7F4A52F7" w14:textId="77777777" w:rsidTr="004450CB">
        <w:tc>
          <w:tcPr>
            <w:tcW w:w="5000" w:type="pct"/>
            <w:tcBorders>
              <w:top w:val="double" w:sz="4" w:space="0" w:color="C0C0C0"/>
              <w:left w:val="double" w:sz="4" w:space="0" w:color="C0C0C0"/>
              <w:bottom w:val="double" w:sz="4" w:space="0" w:color="C0C0C0"/>
              <w:right w:val="double" w:sz="4" w:space="0" w:color="C0C0C0"/>
            </w:tcBorders>
          </w:tcPr>
          <w:p w14:paraId="7966FECF" w14:textId="0AE766D6" w:rsidR="00EF6C47" w:rsidRPr="00600007" w:rsidRDefault="00EF6C47" w:rsidP="004450CB">
            <w:pPr>
              <w:widowControl w:val="0"/>
              <w:autoSpaceDE w:val="0"/>
              <w:autoSpaceDN w:val="0"/>
              <w:adjustRightInd w:val="0"/>
              <w:spacing w:before="120" w:after="120" w:line="240" w:lineRule="auto"/>
              <w:rPr>
                <w:rFonts w:cs="Calibri"/>
                <w:b/>
                <w:lang w:val="en-GB"/>
              </w:rPr>
            </w:pPr>
            <w:r>
              <w:rPr>
                <w:rFonts w:cs="Calibri"/>
                <w:b/>
                <w:spacing w:val="-4"/>
                <w:szCs w:val="20"/>
                <w:lang w:val="en-GB"/>
              </w:rPr>
              <w:lastRenderedPageBreak/>
              <w:t>20.1 CARDIAC ARREST IN ADULTS</w:t>
            </w:r>
          </w:p>
        </w:tc>
      </w:tr>
    </w:tbl>
    <w:p w14:paraId="502E8F72" w14:textId="77777777" w:rsidR="00A46C88" w:rsidRDefault="00A46C88" w:rsidP="00A46C88">
      <w:pPr>
        <w:pStyle w:val="ListParagraph"/>
        <w:spacing w:after="0" w:line="240" w:lineRule="auto"/>
        <w:ind w:left="0"/>
        <w:jc w:val="both"/>
        <w:rPr>
          <w:rFonts w:cstheme="minorHAnsi"/>
          <w:b/>
        </w:rPr>
      </w:pPr>
      <w:r>
        <w:rPr>
          <w:rFonts w:cstheme="minorHAnsi"/>
          <w:b/>
        </w:rPr>
        <w:t>COVID-19 considerations</w:t>
      </w:r>
    </w:p>
    <w:p w14:paraId="5B3114F3" w14:textId="4CF174B8" w:rsidR="00EF6C47" w:rsidRDefault="00EF6C47" w:rsidP="002D4498">
      <w:pPr>
        <w:pStyle w:val="ListParagraph"/>
        <w:spacing w:after="0" w:line="240" w:lineRule="auto"/>
        <w:ind w:left="0"/>
        <w:jc w:val="both"/>
        <w:rPr>
          <w:rFonts w:cstheme="minorHAnsi"/>
        </w:rPr>
      </w:pPr>
      <w:r>
        <w:rPr>
          <w:rFonts w:cstheme="minorHAnsi"/>
        </w:rPr>
        <w:t>Similar to the NEMLC-approved PHC emergencies and injuries chapter</w:t>
      </w:r>
      <w:r w:rsidR="00A46C88">
        <w:rPr>
          <w:rStyle w:val="FootnoteReference"/>
          <w:rFonts w:cstheme="minorHAnsi"/>
        </w:rPr>
        <w:footnoteReference w:id="4"/>
      </w:r>
      <w:r w:rsidR="003433BA">
        <w:rPr>
          <w:rFonts w:cstheme="minorHAnsi"/>
        </w:rPr>
        <w:t>, the STG text was updated.</w:t>
      </w:r>
    </w:p>
    <w:p w14:paraId="5C204314" w14:textId="77777777" w:rsidR="00EF6C47" w:rsidRPr="00762942" w:rsidRDefault="00EF6C47" w:rsidP="002D4498">
      <w:pPr>
        <w:pStyle w:val="ListParagraph"/>
        <w:spacing w:after="0" w:line="240" w:lineRule="auto"/>
        <w:ind w:left="0"/>
        <w:jc w:val="both"/>
        <w:rPr>
          <w:rFonts w:cstheme="minorHAnsi"/>
          <w:sz w:val="10"/>
          <w:szCs w:val="10"/>
        </w:rPr>
      </w:pPr>
    </w:p>
    <w:p w14:paraId="37D01B4F" w14:textId="05627966" w:rsidR="0005374A" w:rsidRDefault="0005374A" w:rsidP="002D4498">
      <w:pPr>
        <w:pStyle w:val="ListParagraph"/>
        <w:spacing w:after="0" w:line="240" w:lineRule="auto"/>
        <w:ind w:left="0"/>
        <w:jc w:val="both"/>
        <w:rPr>
          <w:rFonts w:cstheme="minorHAnsi"/>
        </w:rPr>
      </w:pPr>
      <w:r>
        <w:rPr>
          <w:rFonts w:cstheme="minorHAnsi"/>
        </w:rPr>
        <w:t>The following text was included in the STG, aligned with guidelines:</w:t>
      </w:r>
      <w:r>
        <w:rPr>
          <w:rStyle w:val="FootnoteReference"/>
          <w:rFonts w:cstheme="minorHAnsi"/>
        </w:rPr>
        <w:footnoteReference w:id="5"/>
      </w:r>
    </w:p>
    <w:tbl>
      <w:tblPr>
        <w:tblStyle w:val="TableGrid"/>
        <w:tblW w:w="0" w:type="auto"/>
        <w:tblLook w:val="04A0" w:firstRow="1" w:lastRow="0" w:firstColumn="1" w:lastColumn="0" w:noHBand="0" w:noVBand="1"/>
      </w:tblPr>
      <w:tblGrid>
        <w:gridCol w:w="10456"/>
      </w:tblGrid>
      <w:tr w:rsidR="0005374A" w:rsidRPr="0005374A" w14:paraId="1FDB5B8D" w14:textId="77777777" w:rsidTr="00762942">
        <w:trPr>
          <w:trHeight w:val="1765"/>
        </w:trPr>
        <w:tc>
          <w:tcPr>
            <w:tcW w:w="10456" w:type="dxa"/>
          </w:tcPr>
          <w:p w14:paraId="0921146A" w14:textId="77777777" w:rsidR="0005374A" w:rsidRPr="00762942" w:rsidRDefault="0005374A" w:rsidP="003433BA">
            <w:pPr>
              <w:pStyle w:val="ListParagraph"/>
              <w:numPr>
                <w:ilvl w:val="0"/>
                <w:numId w:val="1"/>
              </w:numPr>
              <w:jc w:val="both"/>
              <w:rPr>
                <w:sz w:val="18"/>
                <w:szCs w:val="20"/>
                <w:u w:val="single"/>
              </w:rPr>
            </w:pPr>
            <w:r w:rsidRPr="00762942">
              <w:rPr>
                <w:sz w:val="18"/>
                <w:szCs w:val="20"/>
                <w:u w:val="single"/>
              </w:rPr>
              <w:t>The infection risk that CPR poses to providers due to aerosolization of coronavirus particles is not negligible.</w:t>
            </w:r>
          </w:p>
          <w:p w14:paraId="5518DF61" w14:textId="77777777" w:rsidR="0005374A" w:rsidRPr="00762942" w:rsidRDefault="0005374A" w:rsidP="003433BA">
            <w:pPr>
              <w:pStyle w:val="ListParagraph"/>
              <w:numPr>
                <w:ilvl w:val="0"/>
                <w:numId w:val="1"/>
              </w:numPr>
              <w:jc w:val="both"/>
              <w:rPr>
                <w:sz w:val="18"/>
                <w:szCs w:val="20"/>
                <w:u w:val="single"/>
              </w:rPr>
            </w:pPr>
            <w:r w:rsidRPr="00762942">
              <w:rPr>
                <w:sz w:val="18"/>
                <w:szCs w:val="20"/>
                <w:u w:val="single"/>
              </w:rPr>
              <w:t>This potential risk should be weighed against the probability of achieving spontaneous return of circulation to inform the decision to initiate or stop CPR.</w:t>
            </w:r>
          </w:p>
          <w:p w14:paraId="363E60E8" w14:textId="77777777" w:rsidR="0005374A" w:rsidRPr="00762942" w:rsidRDefault="0005374A" w:rsidP="003433BA">
            <w:pPr>
              <w:pStyle w:val="ListParagraph"/>
              <w:numPr>
                <w:ilvl w:val="0"/>
                <w:numId w:val="1"/>
              </w:numPr>
              <w:jc w:val="both"/>
              <w:rPr>
                <w:sz w:val="18"/>
                <w:szCs w:val="20"/>
                <w:u w:val="single"/>
              </w:rPr>
            </w:pPr>
            <w:r w:rsidRPr="00762942">
              <w:rPr>
                <w:sz w:val="18"/>
                <w:szCs w:val="20"/>
                <w:u w:val="single"/>
              </w:rPr>
              <w:t>For in hospital cardiac arrest in patients with suspected COVID-19, CPR has been shown to not be beneficial unless an immediate reversible cause is suspected, e.g., dislodgement of ET tube, etc. and is therefore not recommended.</w:t>
            </w:r>
          </w:p>
          <w:p w14:paraId="121887DD" w14:textId="77777777" w:rsidR="0005374A" w:rsidRPr="00762942" w:rsidRDefault="0005374A" w:rsidP="003433BA">
            <w:pPr>
              <w:pStyle w:val="ListParagraph"/>
              <w:numPr>
                <w:ilvl w:val="0"/>
                <w:numId w:val="1"/>
              </w:numPr>
              <w:jc w:val="both"/>
              <w:rPr>
                <w:sz w:val="18"/>
                <w:szCs w:val="20"/>
                <w:u w:val="single"/>
              </w:rPr>
            </w:pPr>
            <w:r w:rsidRPr="00762942">
              <w:rPr>
                <w:sz w:val="18"/>
                <w:szCs w:val="20"/>
                <w:u w:val="single"/>
              </w:rPr>
              <w:t xml:space="preserve">For out of hospital cardiac arrest in patients with suspected COVID-19, it is recommended to not start conventional CPR in unwitnessed cardiac arrest as it will likely not be beneficial. </w:t>
            </w:r>
          </w:p>
          <w:p w14:paraId="58FDE8DD" w14:textId="004BC5F1" w:rsidR="0005374A" w:rsidRPr="0005374A" w:rsidRDefault="0005374A" w:rsidP="003433BA">
            <w:pPr>
              <w:pStyle w:val="ListParagraph"/>
              <w:numPr>
                <w:ilvl w:val="0"/>
                <w:numId w:val="1"/>
              </w:numPr>
              <w:jc w:val="both"/>
              <w:rPr>
                <w:sz w:val="20"/>
              </w:rPr>
            </w:pPr>
            <w:r w:rsidRPr="00762942">
              <w:rPr>
                <w:sz w:val="18"/>
                <w:szCs w:val="20"/>
                <w:u w:val="single"/>
              </w:rPr>
              <w:t>Appropriate PPE should be worn by all staff before initiating CPR: FFP3 mask, visor, gloves and gown.</w:t>
            </w:r>
          </w:p>
        </w:tc>
      </w:tr>
    </w:tbl>
    <w:p w14:paraId="581D183B" w14:textId="0C9830CE" w:rsidR="0005374A" w:rsidRPr="00E93624" w:rsidRDefault="0005374A" w:rsidP="002D4498">
      <w:pPr>
        <w:pStyle w:val="ListParagraph"/>
        <w:spacing w:after="0" w:line="240" w:lineRule="auto"/>
        <w:ind w:left="0"/>
        <w:jc w:val="both"/>
        <w:rPr>
          <w:rFonts w:cstheme="minorHAnsi"/>
          <w:color w:val="212121"/>
          <w:shd w:val="clear" w:color="auto" w:fill="FFFFFF"/>
        </w:rPr>
      </w:pPr>
      <w:r w:rsidRPr="00E93624">
        <w:rPr>
          <w:rFonts w:cstheme="minorHAnsi"/>
        </w:rPr>
        <w:t>Guidance regarding PPE</w:t>
      </w:r>
      <w:r w:rsidR="00E93624" w:rsidRPr="00E93624">
        <w:rPr>
          <w:rFonts w:cstheme="minorHAnsi"/>
        </w:rPr>
        <w:t xml:space="preserve"> </w:t>
      </w:r>
      <w:r w:rsidRPr="00E93624">
        <w:rPr>
          <w:rFonts w:cstheme="minorHAnsi"/>
        </w:rPr>
        <w:t xml:space="preserve">was based on a </w:t>
      </w:r>
      <w:r w:rsidR="00E93624" w:rsidRPr="00E93624">
        <w:rPr>
          <w:rFonts w:cstheme="minorHAnsi"/>
          <w:color w:val="212121"/>
          <w:shd w:val="clear" w:color="auto" w:fill="FFFFFF"/>
        </w:rPr>
        <w:t>retrospective cohort study</w:t>
      </w:r>
      <w:r w:rsidR="00E93624" w:rsidRPr="00E93624">
        <w:rPr>
          <w:rStyle w:val="FootnoteReference"/>
          <w:rFonts w:cstheme="minorHAnsi"/>
        </w:rPr>
        <w:footnoteReference w:id="6"/>
      </w:r>
      <w:r w:rsidR="00E93624" w:rsidRPr="00E93624">
        <w:rPr>
          <w:rFonts w:cstheme="minorHAnsi"/>
          <w:color w:val="212121"/>
          <w:shd w:val="clear" w:color="auto" w:fill="FFFFFF"/>
        </w:rPr>
        <w:t xml:space="preserve"> that showed that</w:t>
      </w:r>
      <w:r w:rsidRPr="00E93624">
        <w:rPr>
          <w:rFonts w:cstheme="minorHAnsi"/>
          <w:color w:val="212121"/>
          <w:shd w:val="clear" w:color="auto" w:fill="FFFFFF"/>
        </w:rPr>
        <w:t xml:space="preserve"> </w:t>
      </w:r>
      <w:r w:rsidR="00E93624" w:rsidRPr="00E93624">
        <w:rPr>
          <w:rFonts w:cstheme="minorHAnsi"/>
          <w:color w:val="212121"/>
          <w:shd w:val="clear" w:color="auto" w:fill="FFFFFF"/>
        </w:rPr>
        <w:t>overall, the incidence of rRT-PCR positive tests among EMS personnel following PPE protocols (wearing a mask, eye protection, gloves, and a gown) was low: 0.57 per 10,000 person-days (30 positive tests in 525,154 person-days).</w:t>
      </w:r>
      <w:r w:rsidRPr="00E93624">
        <w:rPr>
          <w:rFonts w:cstheme="minorHAnsi"/>
          <w:color w:val="212121"/>
          <w:shd w:val="clear" w:color="auto" w:fill="FFFFFF"/>
        </w:rPr>
        <w:t xml:space="preserve"> </w:t>
      </w:r>
    </w:p>
    <w:p w14:paraId="4594FD37" w14:textId="334F45B4" w:rsidR="00E93624" w:rsidRDefault="00E93624" w:rsidP="002D4498">
      <w:pPr>
        <w:pStyle w:val="ListParagraph"/>
        <w:spacing w:after="0" w:line="240" w:lineRule="auto"/>
        <w:ind w:left="0"/>
        <w:jc w:val="both"/>
        <w:rPr>
          <w:rFonts w:cstheme="minorHAnsi"/>
          <w:b/>
          <w:color w:val="212121"/>
          <w:shd w:val="clear" w:color="auto" w:fill="FFFFFF"/>
        </w:rPr>
      </w:pPr>
      <w:r w:rsidRPr="00E93624">
        <w:rPr>
          <w:rFonts w:cstheme="minorHAnsi"/>
          <w:b/>
          <w:color w:val="212121"/>
          <w:shd w:val="clear" w:color="auto" w:fill="FFFFFF"/>
        </w:rPr>
        <w:t>Level of Evidence: Low certainty evidence</w:t>
      </w:r>
    </w:p>
    <w:p w14:paraId="0331DBFE" w14:textId="38A73FDF" w:rsidR="0006500A" w:rsidRDefault="0006500A" w:rsidP="002D4498">
      <w:pPr>
        <w:pStyle w:val="ListParagraph"/>
        <w:spacing w:after="0" w:line="240" w:lineRule="auto"/>
        <w:ind w:left="0"/>
        <w:jc w:val="both"/>
        <w:rPr>
          <w:rFonts w:cstheme="minorHAnsi"/>
          <w:b/>
          <w:color w:val="212121"/>
          <w:shd w:val="clear" w:color="auto" w:fill="FFFFFF"/>
        </w:rPr>
      </w:pPr>
    </w:p>
    <w:p w14:paraId="034A2442" w14:textId="20E2C186" w:rsidR="00426F51" w:rsidRPr="00426F51" w:rsidRDefault="00426F51" w:rsidP="002D4498">
      <w:pPr>
        <w:pStyle w:val="ListParagraph"/>
        <w:spacing w:after="0" w:line="240" w:lineRule="auto"/>
        <w:ind w:left="0"/>
        <w:jc w:val="both"/>
        <w:rPr>
          <w:rFonts w:cstheme="minorHAnsi"/>
          <w:b/>
          <w:color w:val="212121"/>
          <w:shd w:val="clear" w:color="auto" w:fill="FFFFFF"/>
        </w:rPr>
      </w:pPr>
      <w:r w:rsidRPr="00426F51">
        <w:rPr>
          <w:rFonts w:cstheme="minorHAnsi"/>
          <w:b/>
          <w:color w:val="212121"/>
          <w:shd w:val="clear" w:color="auto" w:fill="FFFFFF"/>
        </w:rPr>
        <w:t>Emergency treatment</w:t>
      </w:r>
    </w:p>
    <w:p w14:paraId="36270287" w14:textId="4881C1F9" w:rsidR="00426F51" w:rsidRPr="00426F51" w:rsidRDefault="00426F51" w:rsidP="002D4498">
      <w:pPr>
        <w:pStyle w:val="ListParagraph"/>
        <w:spacing w:after="0" w:line="240" w:lineRule="auto"/>
        <w:ind w:left="0"/>
        <w:jc w:val="both"/>
        <w:rPr>
          <w:rFonts w:cstheme="minorHAnsi"/>
          <w:b/>
          <w:color w:val="212121"/>
          <w:shd w:val="clear" w:color="auto" w:fill="FFFFFF"/>
        </w:rPr>
      </w:pPr>
      <w:r w:rsidRPr="00762942">
        <w:rPr>
          <w:rStyle w:val="cf01"/>
          <w:rFonts w:asciiTheme="minorHAnsi" w:hAnsiTheme="minorHAnsi" w:cstheme="minorHAnsi"/>
          <w:b w:val="0"/>
          <w:bCs w:val="0"/>
          <w:sz w:val="22"/>
          <w:szCs w:val="22"/>
          <w:u w:val="single"/>
        </w:rPr>
        <w:t>Precordial thump:</w:t>
      </w:r>
      <w:r w:rsidRPr="00762942">
        <w:rPr>
          <w:rStyle w:val="cf01"/>
          <w:rFonts w:asciiTheme="minorHAnsi" w:hAnsiTheme="minorHAnsi" w:cstheme="minorHAnsi"/>
          <w:b w:val="0"/>
          <w:bCs w:val="0"/>
          <w:sz w:val="22"/>
          <w:szCs w:val="22"/>
        </w:rPr>
        <w:t xml:space="preserve"> </w:t>
      </w:r>
      <w:r w:rsidRPr="00762942">
        <w:rPr>
          <w:rStyle w:val="cf01"/>
          <w:rFonts w:asciiTheme="minorHAnsi" w:hAnsiTheme="minorHAnsi" w:cstheme="minorHAnsi"/>
          <w:b w:val="0"/>
          <w:bCs w:val="0"/>
          <w:i/>
          <w:iCs/>
          <w:sz w:val="22"/>
          <w:szCs w:val="22"/>
        </w:rPr>
        <w:t>deleted</w:t>
      </w:r>
    </w:p>
    <w:p w14:paraId="1F028355" w14:textId="689B0281" w:rsidR="00426F51" w:rsidRPr="00762942" w:rsidRDefault="00426F51" w:rsidP="002D4498">
      <w:pPr>
        <w:pStyle w:val="ListParagraph"/>
        <w:spacing w:after="0" w:line="240" w:lineRule="auto"/>
        <w:ind w:left="0"/>
        <w:jc w:val="both"/>
        <w:rPr>
          <w:rFonts w:cstheme="minorHAnsi"/>
          <w:bCs/>
          <w:color w:val="212121"/>
          <w:shd w:val="clear" w:color="auto" w:fill="FFFFFF"/>
        </w:rPr>
      </w:pPr>
      <w:r w:rsidRPr="00762942">
        <w:rPr>
          <w:rFonts w:cstheme="minorHAnsi"/>
          <w:bCs/>
          <w:color w:val="212121"/>
          <w:shd w:val="clear" w:color="auto" w:fill="FFFFFF"/>
        </w:rPr>
        <w:t>N</w:t>
      </w:r>
      <w:r>
        <w:rPr>
          <w:rFonts w:cstheme="minorHAnsi"/>
          <w:bCs/>
          <w:color w:val="212121"/>
          <w:shd w:val="clear" w:color="auto" w:fill="FFFFFF"/>
        </w:rPr>
        <w:t>o</w:t>
      </w:r>
      <w:r w:rsidRPr="00762942">
        <w:rPr>
          <w:rFonts w:cstheme="minorHAnsi"/>
          <w:bCs/>
          <w:color w:val="212121"/>
          <w:shd w:val="clear" w:color="auto" w:fill="FFFFFF"/>
        </w:rPr>
        <w:t xml:space="preserve"> available could be sourced showing that precordial thumps are effective. The manoeuvre </w:t>
      </w:r>
      <w:r w:rsidRPr="00762942">
        <w:rPr>
          <w:rStyle w:val="cf01"/>
          <w:rFonts w:asciiTheme="minorHAnsi" w:hAnsiTheme="minorHAnsi" w:cstheme="minorHAnsi"/>
          <w:b w:val="0"/>
          <w:bCs w:val="0"/>
          <w:sz w:val="22"/>
          <w:szCs w:val="22"/>
        </w:rPr>
        <w:t>may lead to rhythm deterioration</w:t>
      </w:r>
      <w:r>
        <w:rPr>
          <w:rStyle w:val="FootnoteReference"/>
          <w:rFonts w:cstheme="minorHAnsi"/>
        </w:rPr>
        <w:footnoteReference w:id="7"/>
      </w:r>
      <w:r w:rsidRPr="00762942">
        <w:rPr>
          <w:rStyle w:val="cf01"/>
          <w:rFonts w:asciiTheme="minorHAnsi" w:hAnsiTheme="minorHAnsi" w:cstheme="minorHAnsi"/>
          <w:b w:val="0"/>
          <w:bCs w:val="0"/>
          <w:sz w:val="22"/>
          <w:szCs w:val="22"/>
        </w:rPr>
        <w:t xml:space="preserve"> and is not included in clinical guidelines.</w:t>
      </w:r>
    </w:p>
    <w:p w14:paraId="72ED9C0F" w14:textId="508958B0" w:rsidR="00426F51" w:rsidRDefault="00762942" w:rsidP="002D4498">
      <w:pPr>
        <w:pStyle w:val="ListParagraph"/>
        <w:spacing w:after="0" w:line="240" w:lineRule="auto"/>
        <w:ind w:left="0"/>
        <w:jc w:val="both"/>
        <w:rPr>
          <w:rFonts w:cstheme="minorHAnsi"/>
          <w:b/>
          <w:color w:val="212121"/>
          <w:shd w:val="clear" w:color="auto" w:fill="FFFFFF"/>
        </w:rPr>
      </w:pPr>
      <w:r>
        <w:rPr>
          <w:rFonts w:cstheme="minorHAnsi"/>
          <w:b/>
          <w:color w:val="212121"/>
          <w:shd w:val="clear" w:color="auto" w:fill="FFFFFF"/>
        </w:rPr>
        <w:t>Level of Evidence: Expert opinion</w:t>
      </w:r>
    </w:p>
    <w:p w14:paraId="401C45DC" w14:textId="21249DF2" w:rsidR="00762942" w:rsidRPr="00762942" w:rsidRDefault="00762942" w:rsidP="002D4498">
      <w:pPr>
        <w:pStyle w:val="ListParagraph"/>
        <w:spacing w:after="0" w:line="240" w:lineRule="auto"/>
        <w:ind w:left="0"/>
        <w:jc w:val="both"/>
        <w:rPr>
          <w:rFonts w:cstheme="minorHAnsi"/>
          <w:bCs/>
          <w:color w:val="212121"/>
          <w:sz w:val="10"/>
          <w:szCs w:val="10"/>
          <w:shd w:val="clear" w:color="auto" w:fill="FFFFFF"/>
        </w:rPr>
      </w:pPr>
    </w:p>
    <w:p w14:paraId="14CC1D04" w14:textId="33DE2C75" w:rsidR="00762942" w:rsidRPr="00762942" w:rsidRDefault="00762942" w:rsidP="002D4498">
      <w:pPr>
        <w:pStyle w:val="ListParagraph"/>
        <w:spacing w:after="0" w:line="240" w:lineRule="auto"/>
        <w:ind w:left="0"/>
        <w:jc w:val="both"/>
        <w:rPr>
          <w:rFonts w:cstheme="minorHAnsi"/>
          <w:bCs/>
          <w:color w:val="212121"/>
          <w:shd w:val="clear" w:color="auto" w:fill="FFFFFF"/>
        </w:rPr>
      </w:pPr>
      <w:r w:rsidRPr="00762942">
        <w:rPr>
          <w:rFonts w:cstheme="minorHAnsi"/>
          <w:bCs/>
          <w:color w:val="212121"/>
          <w:shd w:val="clear" w:color="auto" w:fill="FFFFFF"/>
        </w:rPr>
        <w:t>The following STG text was deleted:</w:t>
      </w:r>
    </w:p>
    <w:tbl>
      <w:tblPr>
        <w:tblStyle w:val="TableGrid"/>
        <w:tblW w:w="0" w:type="auto"/>
        <w:tblLook w:val="04A0" w:firstRow="1" w:lastRow="0" w:firstColumn="1" w:lastColumn="0" w:noHBand="0" w:noVBand="1"/>
      </w:tblPr>
      <w:tblGrid>
        <w:gridCol w:w="10456"/>
      </w:tblGrid>
      <w:tr w:rsidR="00762942" w:rsidRPr="00762942" w14:paraId="7DCF78A6" w14:textId="77777777" w:rsidTr="00762942">
        <w:tc>
          <w:tcPr>
            <w:tcW w:w="10456" w:type="dxa"/>
          </w:tcPr>
          <w:p w14:paraId="2152BAA8" w14:textId="54A691CE" w:rsidR="00762942" w:rsidRPr="00762942" w:rsidRDefault="00762942" w:rsidP="00762942">
            <w:pPr>
              <w:pStyle w:val="Level1"/>
              <w:numPr>
                <w:ilvl w:val="0"/>
                <w:numId w:val="16"/>
              </w:numPr>
              <w:tabs>
                <w:tab w:val="clear" w:pos="239"/>
                <w:tab w:val="left" w:pos="284"/>
              </w:tabs>
              <w:ind w:left="314" w:hangingChars="157" w:hanging="314"/>
              <w:jc w:val="both"/>
              <w:rPr>
                <w:rFonts w:asciiTheme="minorHAnsi" w:hAnsiTheme="minorHAnsi" w:cstheme="minorHAnsi"/>
                <w:strike/>
                <w:color w:val="000000"/>
                <w:lang w:val="en-GB"/>
              </w:rPr>
            </w:pPr>
            <w:r w:rsidRPr="00762942">
              <w:rPr>
                <w:rFonts w:asciiTheme="minorHAnsi" w:hAnsiTheme="minorHAnsi" w:cstheme="minorHAnsi"/>
                <w:strike/>
                <w:color w:val="000000"/>
                <w:lang w:val="en-GB"/>
              </w:rPr>
              <w:t>Where a defibrillator is not immediately available, a single powerful precordial thump is recommended for witnessed cardiac arrest.</w:t>
            </w:r>
          </w:p>
        </w:tc>
      </w:tr>
    </w:tbl>
    <w:p w14:paraId="3C482F62" w14:textId="77777777" w:rsidR="00762942" w:rsidRDefault="00762942" w:rsidP="0006500A">
      <w:pPr>
        <w:pStyle w:val="ListParagraph"/>
        <w:spacing w:after="0" w:line="240" w:lineRule="auto"/>
        <w:ind w:left="0"/>
        <w:jc w:val="both"/>
        <w:rPr>
          <w:b/>
          <w:bCs/>
          <w:lang w:val="en-GB"/>
        </w:rPr>
      </w:pPr>
    </w:p>
    <w:p w14:paraId="69BBBD11" w14:textId="6B3A7284" w:rsidR="0006500A" w:rsidRDefault="00227C1A" w:rsidP="0006500A">
      <w:pPr>
        <w:pStyle w:val="ListParagraph"/>
        <w:spacing w:after="0" w:line="240" w:lineRule="auto"/>
        <w:ind w:left="0"/>
        <w:jc w:val="both"/>
        <w:rPr>
          <w:b/>
          <w:bCs/>
          <w:lang w:val="en-GB"/>
        </w:rPr>
      </w:pPr>
      <w:r w:rsidRPr="00227C1A">
        <w:rPr>
          <w:b/>
          <w:bCs/>
          <w:lang w:val="en-GB"/>
        </w:rPr>
        <w:t>Initiate fluids, IV/IO access</w:t>
      </w:r>
    </w:p>
    <w:p w14:paraId="27D29CC4" w14:textId="56660244" w:rsidR="00227C1A" w:rsidRDefault="00227C1A" w:rsidP="0006500A">
      <w:pPr>
        <w:pStyle w:val="ListParagraph"/>
        <w:spacing w:after="0" w:line="240" w:lineRule="auto"/>
        <w:ind w:left="0"/>
        <w:jc w:val="both"/>
        <w:rPr>
          <w:i/>
          <w:iCs/>
          <w:lang w:val="en-GB"/>
        </w:rPr>
      </w:pPr>
      <w:r w:rsidRPr="00426F51">
        <w:rPr>
          <w:u w:val="single"/>
          <w:lang w:val="en-GB"/>
        </w:rPr>
        <w:t>Sodium chloride 0.9%</w:t>
      </w:r>
      <w:r>
        <w:rPr>
          <w:u w:val="single"/>
          <w:lang w:val="en-GB"/>
        </w:rPr>
        <w:t>, parenteral</w:t>
      </w:r>
      <w:r w:rsidRPr="00426F51">
        <w:rPr>
          <w:u w:val="single"/>
          <w:lang w:val="en-GB"/>
        </w:rPr>
        <w:t>:</w:t>
      </w:r>
      <w:r w:rsidRPr="00426F51">
        <w:rPr>
          <w:lang w:val="en-GB"/>
        </w:rPr>
        <w:t xml:space="preserve"> </w:t>
      </w:r>
      <w:r w:rsidRPr="00426F51">
        <w:rPr>
          <w:i/>
          <w:iCs/>
          <w:lang w:val="en-GB"/>
        </w:rPr>
        <w:t>amended – directions for use</w:t>
      </w:r>
      <w:r>
        <w:rPr>
          <w:i/>
          <w:iCs/>
          <w:lang w:val="en-GB"/>
        </w:rPr>
        <w:t xml:space="preserve"> added</w:t>
      </w:r>
    </w:p>
    <w:p w14:paraId="026B9DA0" w14:textId="50182198" w:rsidR="00227C1A" w:rsidRDefault="00227C1A" w:rsidP="0006500A">
      <w:pPr>
        <w:pStyle w:val="ListParagraph"/>
        <w:spacing w:after="0" w:line="240" w:lineRule="auto"/>
        <w:ind w:left="0"/>
        <w:jc w:val="both"/>
        <w:rPr>
          <w:lang w:val="en-GB"/>
        </w:rPr>
      </w:pPr>
      <w:r>
        <w:rPr>
          <w:lang w:val="en-GB"/>
        </w:rPr>
        <w:t xml:space="preserve">Aligned with the </w:t>
      </w:r>
      <w:r w:rsidRPr="00227C1A">
        <w:rPr>
          <w:lang w:val="en-GB"/>
        </w:rPr>
        <w:t>2019 ESC Guidelines for the diagnosis and management of acute pulmonary embolism developed in collaboration with the European Respiratory Society (ERS)</w:t>
      </w:r>
      <w:r>
        <w:rPr>
          <w:rStyle w:val="FootnoteReference"/>
          <w:lang w:val="en-GB"/>
        </w:rPr>
        <w:footnoteReference w:id="8"/>
      </w:r>
      <w:r>
        <w:rPr>
          <w:lang w:val="en-GB"/>
        </w:rPr>
        <w:t>. Considered a moderate to good quality guideline with an overall AGREE2 assessment of 75%.</w:t>
      </w:r>
    </w:p>
    <w:p w14:paraId="68E74041" w14:textId="77777777" w:rsidR="00227C1A" w:rsidRDefault="00227C1A" w:rsidP="00227C1A">
      <w:pPr>
        <w:pStyle w:val="ListParagraph"/>
        <w:spacing w:after="0" w:line="240" w:lineRule="auto"/>
        <w:ind w:left="0"/>
        <w:jc w:val="both"/>
        <w:rPr>
          <w:rFonts w:cstheme="minorHAnsi"/>
          <w:b/>
          <w:color w:val="212121"/>
          <w:shd w:val="clear" w:color="auto" w:fill="FFFFFF"/>
        </w:rPr>
      </w:pPr>
      <w:r w:rsidRPr="00E93624">
        <w:rPr>
          <w:rFonts w:cstheme="minorHAnsi"/>
          <w:b/>
          <w:color w:val="212121"/>
          <w:shd w:val="clear" w:color="auto" w:fill="FFFFFF"/>
        </w:rPr>
        <w:t>Level of Evidence: Low certainty evidence</w:t>
      </w:r>
    </w:p>
    <w:p w14:paraId="46BFBF73" w14:textId="6E3A774C" w:rsidR="00227C1A" w:rsidRPr="00762942" w:rsidRDefault="00227C1A" w:rsidP="0006500A">
      <w:pPr>
        <w:pStyle w:val="ListParagraph"/>
        <w:spacing w:after="0" w:line="240" w:lineRule="auto"/>
        <w:ind w:left="0"/>
        <w:jc w:val="both"/>
        <w:rPr>
          <w:sz w:val="12"/>
          <w:szCs w:val="12"/>
          <w:lang w:val="en-GB"/>
        </w:rPr>
      </w:pPr>
    </w:p>
    <w:p w14:paraId="53FF9632" w14:textId="6CBAB7D6" w:rsidR="00227C1A" w:rsidRDefault="00227C1A" w:rsidP="0006500A">
      <w:pPr>
        <w:pStyle w:val="ListParagraph"/>
        <w:spacing w:after="0" w:line="240" w:lineRule="auto"/>
        <w:ind w:left="0"/>
        <w:jc w:val="both"/>
        <w:rPr>
          <w:lang w:val="en-GB"/>
        </w:rPr>
      </w:pPr>
      <w:r>
        <w:rPr>
          <w:lang w:val="en-GB"/>
        </w:rPr>
        <w:t>STG text was amended as follows:</w:t>
      </w:r>
    </w:p>
    <w:tbl>
      <w:tblPr>
        <w:tblStyle w:val="TableGrid"/>
        <w:tblW w:w="0" w:type="auto"/>
        <w:tblLook w:val="04A0" w:firstRow="1" w:lastRow="0" w:firstColumn="1" w:lastColumn="0" w:noHBand="0" w:noVBand="1"/>
      </w:tblPr>
      <w:tblGrid>
        <w:gridCol w:w="10456"/>
      </w:tblGrid>
      <w:tr w:rsidR="00227C1A" w:rsidRPr="00426F51" w14:paraId="0A37373B" w14:textId="77777777" w:rsidTr="00426F51">
        <w:trPr>
          <w:trHeight w:val="583"/>
        </w:trPr>
        <w:tc>
          <w:tcPr>
            <w:tcW w:w="10456" w:type="dxa"/>
          </w:tcPr>
          <w:p w14:paraId="45056303" w14:textId="7A07954B" w:rsidR="00227C1A" w:rsidRPr="00762942" w:rsidRDefault="00227C1A" w:rsidP="00227C1A">
            <w:pPr>
              <w:pStyle w:val="Style3"/>
              <w:ind w:left="284" w:hanging="284"/>
              <w:rPr>
                <w:rFonts w:asciiTheme="minorHAnsi" w:hAnsiTheme="minorHAnsi" w:cstheme="minorHAnsi"/>
                <w:lang w:val="en-GB"/>
              </w:rPr>
            </w:pPr>
            <w:r w:rsidRPr="00762942">
              <w:rPr>
                <w:rFonts w:asciiTheme="minorHAnsi" w:hAnsiTheme="minorHAnsi" w:cstheme="minorHAnsi"/>
                <w:lang w:val="en-GB"/>
              </w:rPr>
              <w:t>Sodium chloride 0.9%</w:t>
            </w:r>
            <w:r w:rsidR="00426F51" w:rsidRPr="00762942">
              <w:rPr>
                <w:rFonts w:asciiTheme="minorHAnsi" w:hAnsiTheme="minorHAnsi" w:cstheme="minorHAnsi"/>
                <w:lang w:val="en-GB"/>
              </w:rPr>
              <w:t xml:space="preserve">, </w:t>
            </w:r>
            <w:r w:rsidR="00426F51" w:rsidRPr="00762942">
              <w:rPr>
                <w:rFonts w:asciiTheme="minorHAnsi" w:hAnsiTheme="minorHAnsi" w:cstheme="minorHAnsi"/>
                <w:u w:val="single"/>
                <w:lang w:val="en-GB"/>
              </w:rPr>
              <w:t>IV.</w:t>
            </w:r>
          </w:p>
          <w:p w14:paraId="7AB44486" w14:textId="2C081266" w:rsidR="00227C1A" w:rsidRPr="00762942" w:rsidRDefault="00227C1A" w:rsidP="00227C1A">
            <w:pPr>
              <w:pStyle w:val="Level1"/>
              <w:numPr>
                <w:ilvl w:val="0"/>
                <w:numId w:val="34"/>
              </w:numPr>
              <w:shd w:val="clear" w:color="auto" w:fill="FFFFFF"/>
              <w:ind w:left="567" w:hanging="283"/>
              <w:jc w:val="both"/>
              <w:rPr>
                <w:rFonts w:asciiTheme="minorHAnsi" w:hAnsiTheme="minorHAnsi" w:cstheme="minorHAnsi"/>
                <w:sz w:val="18"/>
                <w:szCs w:val="24"/>
                <w:u w:val="single"/>
                <w:lang w:val="en-GB"/>
              </w:rPr>
            </w:pPr>
            <w:r w:rsidRPr="00762942">
              <w:rPr>
                <w:rFonts w:asciiTheme="minorHAnsi" w:hAnsiTheme="minorHAnsi" w:cstheme="minorHAnsi"/>
                <w:sz w:val="18"/>
                <w:szCs w:val="24"/>
                <w:u w:val="single"/>
                <w:lang w:val="en-GB"/>
              </w:rPr>
              <w:t xml:space="preserve">Administer a bolus of 1 litre during CPR </w:t>
            </w:r>
            <w:r w:rsidR="00426F51" w:rsidRPr="00762942">
              <w:rPr>
                <w:rFonts w:asciiTheme="minorHAnsi" w:hAnsiTheme="minorHAnsi" w:cstheme="minorHAnsi"/>
                <w:sz w:val="18"/>
                <w:szCs w:val="24"/>
                <w:u w:val="single"/>
                <w:lang w:val="en-GB"/>
              </w:rPr>
              <w:t>if</w:t>
            </w:r>
            <w:r w:rsidR="00762942" w:rsidRPr="00762942">
              <w:rPr>
                <w:rFonts w:asciiTheme="minorHAnsi" w:hAnsiTheme="minorHAnsi" w:cstheme="minorHAnsi"/>
                <w:sz w:val="18"/>
                <w:szCs w:val="24"/>
                <w:u w:val="single"/>
                <w:lang w:val="en-GB"/>
              </w:rPr>
              <w:t xml:space="preserve"> </w:t>
            </w:r>
            <w:r w:rsidRPr="00762942">
              <w:rPr>
                <w:rFonts w:asciiTheme="minorHAnsi" w:hAnsiTheme="minorHAnsi" w:cstheme="minorHAnsi"/>
                <w:sz w:val="18"/>
                <w:szCs w:val="24"/>
                <w:u w:val="single"/>
                <w:lang w:val="en-GB"/>
              </w:rPr>
              <w:t>an increase in preload may benefit the patient, e.g., hypovolaemic shock, distributive shock, haemorrhagic shock.</w:t>
            </w:r>
          </w:p>
          <w:p w14:paraId="1A9611D7" w14:textId="2E5B5EE7" w:rsidR="00227C1A" w:rsidRPr="00426F51" w:rsidRDefault="00227C1A" w:rsidP="00426F51">
            <w:pPr>
              <w:pStyle w:val="Level1"/>
              <w:numPr>
                <w:ilvl w:val="0"/>
                <w:numId w:val="34"/>
              </w:numPr>
              <w:shd w:val="clear" w:color="auto" w:fill="FFFFFF"/>
              <w:ind w:left="567" w:hanging="283"/>
              <w:jc w:val="both"/>
              <w:rPr>
                <w:rFonts w:asciiTheme="minorHAnsi" w:hAnsiTheme="minorHAnsi" w:cstheme="minorHAnsi"/>
                <w:szCs w:val="28"/>
                <w:lang w:val="en-GB"/>
              </w:rPr>
            </w:pPr>
            <w:r w:rsidRPr="00762942">
              <w:rPr>
                <w:rFonts w:asciiTheme="minorHAnsi" w:hAnsiTheme="minorHAnsi" w:cstheme="minorHAnsi"/>
                <w:sz w:val="18"/>
                <w:szCs w:val="24"/>
                <w:u w:val="single"/>
                <w:lang w:val="en-GB"/>
              </w:rPr>
              <w:t>Administer cautiously during CPR if an increase in the preload could be detrimental, e.g., massive pulmonary embolism or cardiac tamponade.</w:t>
            </w:r>
          </w:p>
        </w:tc>
      </w:tr>
    </w:tbl>
    <w:p w14:paraId="522B8C58" w14:textId="377778DB" w:rsidR="00227C1A" w:rsidRDefault="00227C1A" w:rsidP="0006500A">
      <w:pPr>
        <w:pStyle w:val="ListParagraph"/>
        <w:spacing w:after="0" w:line="240" w:lineRule="auto"/>
        <w:ind w:left="0"/>
        <w:jc w:val="both"/>
        <w:rPr>
          <w:lang w:val="en-GB"/>
        </w:rPr>
      </w:pPr>
    </w:p>
    <w:p w14:paraId="7D643E86" w14:textId="73BA8A88" w:rsidR="00426F51" w:rsidRDefault="00426F51" w:rsidP="0006500A">
      <w:pPr>
        <w:pStyle w:val="ListParagraph"/>
        <w:spacing w:after="0" w:line="240" w:lineRule="auto"/>
        <w:ind w:left="0"/>
        <w:jc w:val="both"/>
        <w:rPr>
          <w:lang w:val="en-GB"/>
        </w:rPr>
      </w:pPr>
    </w:p>
    <w:tbl>
      <w:tblPr>
        <w:tblStyle w:val="TableGrid"/>
        <w:tblW w:w="0" w:type="auto"/>
        <w:jc w:val="center"/>
        <w:tblCellMar>
          <w:left w:w="28" w:type="dxa"/>
          <w:right w:w="28" w:type="dxa"/>
        </w:tblCellMar>
        <w:tblLook w:val="04A0" w:firstRow="1" w:lastRow="0" w:firstColumn="1" w:lastColumn="0" w:noHBand="0" w:noVBand="1"/>
      </w:tblPr>
      <w:tblGrid>
        <w:gridCol w:w="7054"/>
      </w:tblGrid>
      <w:tr w:rsidR="0005374A" w14:paraId="7F34B95C" w14:textId="77777777" w:rsidTr="00762942">
        <w:trPr>
          <w:trHeight w:val="58"/>
          <w:jc w:val="center"/>
        </w:trPr>
        <w:tc>
          <w:tcPr>
            <w:tcW w:w="6644" w:type="dxa"/>
          </w:tcPr>
          <w:p w14:paraId="5446957C" w14:textId="77777777" w:rsidR="0005374A" w:rsidRDefault="0005374A" w:rsidP="0005374A">
            <w:pPr>
              <w:pStyle w:val="ListParagraph"/>
              <w:ind w:left="0"/>
              <w:jc w:val="center"/>
              <w:rPr>
                <w:lang w:val="en-ZA"/>
              </w:rPr>
            </w:pPr>
            <w:r>
              <w:rPr>
                <w:lang w:val="en-ZA"/>
              </w:rPr>
              <w:object w:dxaOrig="8925" w:dyaOrig="12630" w14:anchorId="571C2208">
                <v:shape id="_x0000_i1025" type="#_x0000_t75" style="width:349.8pt;height:495.6pt" o:ole="">
                  <v:imagedata r:id="rId12" o:title="" croptop="1514f" cropbottom="1330f" cropleft="1658f" cropright="1541f"/>
                </v:shape>
                <o:OLEObject Type="Embed" ProgID="AcroExch.Document.7" ShapeID="_x0000_i1025" DrawAspect="Content" ObjectID="_1728018818" r:id="rId13"/>
              </w:object>
            </w:r>
          </w:p>
          <w:p w14:paraId="06A83CE4" w14:textId="6ABA80BE" w:rsidR="0005374A" w:rsidRPr="00E93624" w:rsidRDefault="00E93624" w:rsidP="00E93624">
            <w:pPr>
              <w:pStyle w:val="edl2ndle01"/>
              <w:shd w:val="clear" w:color="auto" w:fill="auto"/>
              <w:jc w:val="both"/>
              <w:rPr>
                <w:rFonts w:ascii="Arial" w:hAnsi="Arial" w:cs="Arial"/>
                <w:b w:val="0"/>
                <w:color w:val="000000"/>
                <w:spacing w:val="-4"/>
                <w:sz w:val="16"/>
                <w:szCs w:val="24"/>
                <w:lang w:val="en-GB"/>
              </w:rPr>
            </w:pPr>
            <w:r>
              <w:rPr>
                <w:rFonts w:ascii="Arial" w:hAnsi="Arial" w:cs="Arial"/>
                <w:b w:val="0"/>
                <w:color w:val="000000"/>
                <w:spacing w:val="-4"/>
                <w:sz w:val="16"/>
                <w:szCs w:val="24"/>
                <w:lang w:val="en-GB"/>
              </w:rPr>
              <w:t>Figure 21.2</w:t>
            </w:r>
            <w:r w:rsidRPr="00B926ED">
              <w:rPr>
                <w:rFonts w:ascii="Arial" w:hAnsi="Arial" w:cs="Arial"/>
                <w:b w:val="0"/>
                <w:color w:val="000000"/>
                <w:spacing w:val="-4"/>
                <w:sz w:val="16"/>
                <w:szCs w:val="24"/>
                <w:lang w:val="en-GB"/>
              </w:rPr>
              <w:t>: Advanced cardiac arrest algorithm</w:t>
            </w:r>
            <w:r>
              <w:rPr>
                <w:rFonts w:ascii="Arial" w:hAnsi="Arial" w:cs="Arial"/>
                <w:b w:val="0"/>
                <w:color w:val="000000"/>
                <w:spacing w:val="-4"/>
                <w:sz w:val="16"/>
                <w:szCs w:val="24"/>
                <w:lang w:val="en-GB"/>
              </w:rPr>
              <w:t xml:space="preserve"> - suspected respiratory communicable disease</w:t>
            </w:r>
            <w:r w:rsidRPr="00B926ED">
              <w:rPr>
                <w:rFonts w:ascii="Arial" w:hAnsi="Arial" w:cs="Arial"/>
                <w:b w:val="0"/>
                <w:color w:val="000000"/>
                <w:spacing w:val="-4"/>
                <w:sz w:val="16"/>
                <w:szCs w:val="24"/>
                <w:lang w:val="en-GB"/>
              </w:rPr>
              <w:t xml:space="preserve"> </w:t>
            </w:r>
            <w:r w:rsidRPr="00B926ED">
              <w:rPr>
                <w:rFonts w:ascii="Arial" w:hAnsi="Arial" w:cs="Arial"/>
                <w:b w:val="0"/>
                <w:i/>
                <w:color w:val="000000"/>
                <w:spacing w:val="-4"/>
                <w:sz w:val="16"/>
                <w:szCs w:val="24"/>
                <w:lang w:val="en-GB"/>
              </w:rPr>
              <w:t>(</w:t>
            </w:r>
            <w:r>
              <w:rPr>
                <w:rFonts w:ascii="Arial" w:hAnsi="Arial" w:cs="Arial"/>
                <w:b w:val="0"/>
                <w:i/>
                <w:color w:val="000000"/>
                <w:spacing w:val="-4"/>
                <w:sz w:val="16"/>
                <w:szCs w:val="24"/>
                <w:lang w:val="en-GB"/>
              </w:rPr>
              <w:t>adapted</w:t>
            </w:r>
            <w:r w:rsidRPr="00B926ED">
              <w:rPr>
                <w:rFonts w:ascii="Arial" w:hAnsi="Arial" w:cs="Arial"/>
                <w:b w:val="0"/>
                <w:i/>
                <w:color w:val="000000"/>
                <w:spacing w:val="-4"/>
                <w:sz w:val="16"/>
                <w:szCs w:val="24"/>
                <w:lang w:val="en-GB"/>
              </w:rPr>
              <w:t xml:space="preserve"> with permission from the Resuscitation Council of South Africa)</w:t>
            </w:r>
          </w:p>
        </w:tc>
      </w:tr>
    </w:tbl>
    <w:p w14:paraId="2A2240DB" w14:textId="429F711C" w:rsidR="002D4498" w:rsidRDefault="002D4498" w:rsidP="002D4498">
      <w:pPr>
        <w:pStyle w:val="ListParagraph"/>
        <w:spacing w:after="0" w:line="240" w:lineRule="auto"/>
        <w:ind w:left="0"/>
        <w:jc w:val="both"/>
        <w:rPr>
          <w:lang w:val="en-GB"/>
        </w:rPr>
      </w:pPr>
    </w:p>
    <w:p w14:paraId="1129BCE7" w14:textId="795A3E95" w:rsidR="00DF6E35" w:rsidRDefault="00DF6E35" w:rsidP="002D4498">
      <w:pPr>
        <w:pStyle w:val="ListParagraph"/>
        <w:spacing w:after="0" w:line="240" w:lineRule="auto"/>
        <w:ind w:left="0"/>
        <w:jc w:val="both"/>
        <w:rPr>
          <w:b/>
          <w:lang w:val="en-GB"/>
        </w:rPr>
      </w:pPr>
      <w:r w:rsidRPr="00DF6E35">
        <w:rPr>
          <w:b/>
          <w:lang w:val="en-GB"/>
        </w:rPr>
        <w:t xml:space="preserve">Additional guidance – </w:t>
      </w:r>
      <w:r w:rsidR="00585F70">
        <w:rPr>
          <w:b/>
          <w:lang w:val="en-GB"/>
        </w:rPr>
        <w:t>termination of resuscitation (TOR)</w:t>
      </w:r>
    </w:p>
    <w:p w14:paraId="69D492FD" w14:textId="77777777" w:rsidR="00762942" w:rsidRDefault="00762942" w:rsidP="00762942">
      <w:pPr>
        <w:pStyle w:val="ListParagraph"/>
        <w:spacing w:after="0" w:line="240" w:lineRule="auto"/>
        <w:ind w:left="0"/>
        <w:jc w:val="both"/>
        <w:rPr>
          <w:rFonts w:cstheme="minorHAnsi"/>
        </w:rPr>
      </w:pPr>
      <w:r>
        <w:rPr>
          <w:rFonts w:cstheme="minorHAnsi"/>
        </w:rPr>
        <w:t>Similar to the NEMLC-approved PHC emergencies and injuries chapter</w:t>
      </w:r>
      <w:r>
        <w:rPr>
          <w:rStyle w:val="FootnoteReference"/>
          <w:rFonts w:cstheme="minorHAnsi"/>
        </w:rPr>
        <w:footnoteReference w:id="9"/>
      </w:r>
      <w:r>
        <w:rPr>
          <w:rFonts w:cstheme="minorHAnsi"/>
        </w:rPr>
        <w:t>, the STG text was updated.</w:t>
      </w:r>
    </w:p>
    <w:p w14:paraId="161FCFEB" w14:textId="77777777" w:rsidR="00762942" w:rsidRPr="00DF6E35" w:rsidRDefault="00762942" w:rsidP="002D4498">
      <w:pPr>
        <w:pStyle w:val="ListParagraph"/>
        <w:spacing w:after="0" w:line="240" w:lineRule="auto"/>
        <w:ind w:left="0"/>
        <w:jc w:val="both"/>
        <w:rPr>
          <w:b/>
          <w:lang w:val="en-GB"/>
        </w:rPr>
      </w:pPr>
    </w:p>
    <w:p w14:paraId="0139F316" w14:textId="0F98ACC5" w:rsidR="00DF6E35" w:rsidRDefault="00DF6E35" w:rsidP="002D4498">
      <w:pPr>
        <w:pStyle w:val="ListParagraph"/>
        <w:spacing w:after="0" w:line="240" w:lineRule="auto"/>
        <w:ind w:left="0"/>
        <w:jc w:val="both"/>
        <w:rPr>
          <w:i/>
          <w:lang w:val="en-GB"/>
        </w:rPr>
      </w:pPr>
      <w:r w:rsidRPr="00DF6E35">
        <w:rPr>
          <w:u w:val="single"/>
          <w:lang w:val="en-GB"/>
        </w:rPr>
        <w:t>Duration of asystole:</w:t>
      </w:r>
      <w:r>
        <w:rPr>
          <w:lang w:val="en-GB"/>
        </w:rPr>
        <w:t xml:space="preserve"> </w:t>
      </w:r>
      <w:r w:rsidRPr="00DF6E35">
        <w:rPr>
          <w:i/>
          <w:lang w:val="en-GB"/>
        </w:rPr>
        <w:t>amended</w:t>
      </w:r>
      <w:r>
        <w:rPr>
          <w:i/>
          <w:lang w:val="en-GB"/>
        </w:rPr>
        <w:t xml:space="preserve"> </w:t>
      </w:r>
    </w:p>
    <w:p w14:paraId="3ADE697B" w14:textId="77777777" w:rsidR="0030183C" w:rsidRDefault="00C404B6" w:rsidP="003F14C9">
      <w:pPr>
        <w:widowControl w:val="0"/>
        <w:spacing w:after="0" w:line="240" w:lineRule="auto"/>
        <w:jc w:val="both"/>
        <w:rPr>
          <w:rFonts w:cstheme="minorHAnsi"/>
        </w:rPr>
      </w:pPr>
      <w:r w:rsidRPr="00C404B6">
        <w:rPr>
          <w:rFonts w:cstheme="minorHAnsi"/>
        </w:rPr>
        <w:t>A</w:t>
      </w:r>
      <w:r w:rsidR="008250D5" w:rsidRPr="00C404B6">
        <w:rPr>
          <w:rFonts w:cstheme="minorHAnsi"/>
        </w:rPr>
        <w:t xml:space="preserve"> more objective statement </w:t>
      </w:r>
      <w:r w:rsidRPr="00C404B6">
        <w:rPr>
          <w:rFonts w:cstheme="minorHAnsi"/>
        </w:rPr>
        <w:t xml:space="preserve">was </w:t>
      </w:r>
      <w:r w:rsidR="008250D5" w:rsidRPr="00C404B6">
        <w:rPr>
          <w:rFonts w:cstheme="minorHAnsi"/>
        </w:rPr>
        <w:t>considered for inclusion</w:t>
      </w:r>
      <w:r w:rsidRPr="00C404B6">
        <w:rPr>
          <w:rFonts w:cstheme="minorHAnsi"/>
        </w:rPr>
        <w:t xml:space="preserve"> in the PHC STG,</w:t>
      </w:r>
      <w:r w:rsidR="008250D5" w:rsidRPr="00C404B6">
        <w:rPr>
          <w:rFonts w:cstheme="minorHAnsi"/>
        </w:rPr>
        <w:t xml:space="preserve"> “</w:t>
      </w:r>
      <w:r w:rsidR="008250D5" w:rsidRPr="00C404B6">
        <w:rPr>
          <w:rFonts w:cstheme="minorHAnsi"/>
          <w:i/>
        </w:rPr>
        <w:t>Asystole of &gt;20 minutes is considered unsurvivable”.</w:t>
      </w:r>
      <w:r w:rsidRPr="00C404B6">
        <w:rPr>
          <w:rFonts w:cstheme="minorHAnsi"/>
          <w:i/>
        </w:rPr>
        <w:t xml:space="preserve"> </w:t>
      </w:r>
      <w:r w:rsidRPr="00585F70">
        <w:rPr>
          <w:rFonts w:cstheme="minorHAnsi"/>
        </w:rPr>
        <w:t>However, t</w:t>
      </w:r>
      <w:r w:rsidR="008250D5" w:rsidRPr="00585F70">
        <w:rPr>
          <w:rFonts w:cstheme="minorHAnsi"/>
        </w:rPr>
        <w:t>here</w:t>
      </w:r>
      <w:r w:rsidR="008250D5" w:rsidRPr="00C404B6">
        <w:rPr>
          <w:rFonts w:cstheme="minorHAnsi"/>
        </w:rPr>
        <w:t xml:space="preserve"> is a paucity of evidence that informs this decision and most recommendations are </w:t>
      </w:r>
      <w:r w:rsidR="008250D5" w:rsidRPr="0030183C">
        <w:rPr>
          <w:rFonts w:cstheme="minorHAnsi"/>
        </w:rPr>
        <w:t>based on consensus</w:t>
      </w:r>
      <w:r w:rsidR="00A91274" w:rsidRPr="0030183C">
        <w:rPr>
          <w:rFonts w:cstheme="minorHAnsi"/>
        </w:rPr>
        <w:t>.</w:t>
      </w:r>
      <w:r w:rsidR="008250D5" w:rsidRPr="0030183C">
        <w:rPr>
          <w:rStyle w:val="FootnoteReference"/>
          <w:rFonts w:cstheme="minorHAnsi"/>
        </w:rPr>
        <w:footnoteReference w:id="10"/>
      </w:r>
      <w:r w:rsidR="00A91274" w:rsidRPr="0030183C">
        <w:rPr>
          <w:rFonts w:cstheme="minorHAnsi"/>
        </w:rPr>
        <w:t xml:space="preserve"> </w:t>
      </w:r>
    </w:p>
    <w:p w14:paraId="4866BFE0" w14:textId="045B3A76" w:rsidR="007C34B5" w:rsidRPr="0030183C" w:rsidRDefault="008250D5" w:rsidP="003F14C9">
      <w:pPr>
        <w:widowControl w:val="0"/>
        <w:spacing w:after="0" w:line="240" w:lineRule="auto"/>
        <w:jc w:val="both"/>
        <w:rPr>
          <w:rFonts w:cstheme="minorHAnsi"/>
        </w:rPr>
      </w:pPr>
      <w:r w:rsidRPr="0030183C">
        <w:rPr>
          <w:rFonts w:cstheme="minorHAnsi"/>
        </w:rPr>
        <w:t>The 2020 AHA guidelines note that in a recent meta-analysis of seven published studies (</w:t>
      </w:r>
      <w:r w:rsidR="00C404B6" w:rsidRPr="0030183C">
        <w:rPr>
          <w:rFonts w:cstheme="minorHAnsi"/>
        </w:rPr>
        <w:t>n=</w:t>
      </w:r>
      <w:r w:rsidRPr="0030183C">
        <w:rPr>
          <w:rFonts w:cstheme="minorHAnsi"/>
        </w:rPr>
        <w:t xml:space="preserve">33,795 patients), only 0.13% (95% </w:t>
      </w:r>
      <w:r w:rsidR="00C404B6" w:rsidRPr="0030183C">
        <w:rPr>
          <w:rFonts w:cstheme="minorHAnsi"/>
        </w:rPr>
        <w:t xml:space="preserve">CI 0.03 to </w:t>
      </w:r>
      <w:r w:rsidRPr="0030183C">
        <w:rPr>
          <w:rFonts w:cstheme="minorHAnsi"/>
        </w:rPr>
        <w:t>0.58%) of patients who fulfilled the B</w:t>
      </w:r>
      <w:r w:rsidR="007C34B5" w:rsidRPr="0030183C">
        <w:rPr>
          <w:rFonts w:cstheme="minorHAnsi"/>
        </w:rPr>
        <w:t>asic Life Support (BLS)</w:t>
      </w:r>
      <w:r w:rsidRPr="0030183C">
        <w:rPr>
          <w:rFonts w:cstheme="minorHAnsi"/>
        </w:rPr>
        <w:t xml:space="preserve"> termination criteria survived to hospital discharge</w:t>
      </w:r>
      <w:r w:rsidR="00C404B6" w:rsidRPr="0030183C">
        <w:rPr>
          <w:rStyle w:val="FootnoteReference"/>
          <w:rFonts w:cstheme="minorHAnsi"/>
        </w:rPr>
        <w:footnoteReference w:id="11"/>
      </w:r>
      <w:r w:rsidRPr="0030183C">
        <w:rPr>
          <w:rFonts w:cstheme="minorHAnsi"/>
        </w:rPr>
        <w:t>.</w:t>
      </w:r>
      <w:r w:rsidR="00C404B6" w:rsidRPr="0030183C">
        <w:rPr>
          <w:rFonts w:cstheme="minorHAnsi"/>
        </w:rPr>
        <w:t xml:space="preserve"> </w:t>
      </w:r>
      <w:r w:rsidR="007C34B5" w:rsidRPr="0030183C">
        <w:rPr>
          <w:rFonts w:cstheme="minorHAnsi"/>
        </w:rPr>
        <w:t xml:space="preserve">The BLS TOR rule recommends terminating resuscitation  if  all  the  following  three  criteria  are  </w:t>
      </w:r>
      <w:r w:rsidR="007C34B5" w:rsidRPr="0030183C">
        <w:rPr>
          <w:rFonts w:cstheme="minorHAnsi"/>
        </w:rPr>
        <w:lastRenderedPageBreak/>
        <w:t xml:space="preserve">met:  the  cardiac  arrest  was  not  witnessed  by  EMS  personnel,  no  </w:t>
      </w:r>
      <w:r w:rsidR="00A91274" w:rsidRPr="0030183C">
        <w:rPr>
          <w:rFonts w:cstheme="minorHAnsi"/>
          <w:bdr w:val="none" w:sz="0" w:space="0" w:color="auto" w:frame="1"/>
          <w:shd w:val="clear" w:color="auto" w:fill="FFFFFF"/>
        </w:rPr>
        <w:t>return of spontaneous circulation (</w:t>
      </w:r>
      <w:r w:rsidR="007C34B5" w:rsidRPr="0030183C">
        <w:rPr>
          <w:rFonts w:cstheme="minorHAnsi"/>
        </w:rPr>
        <w:t>ROSC</w:t>
      </w:r>
      <w:r w:rsidR="00A91274" w:rsidRPr="0030183C">
        <w:rPr>
          <w:rFonts w:cstheme="minorHAnsi"/>
        </w:rPr>
        <w:t>)</w:t>
      </w:r>
      <w:r w:rsidR="007C34B5" w:rsidRPr="0030183C">
        <w:rPr>
          <w:rFonts w:cstheme="minorHAnsi"/>
        </w:rPr>
        <w:t xml:space="preserve">  before  transport,  and  no  shock  delivered  before  transport.</w:t>
      </w:r>
    </w:p>
    <w:p w14:paraId="5A6DA3AF" w14:textId="08DEBBFC" w:rsidR="007C34B5" w:rsidRPr="0030183C" w:rsidRDefault="008250D5" w:rsidP="003F14C9">
      <w:pPr>
        <w:widowControl w:val="0"/>
        <w:spacing w:after="0" w:line="240" w:lineRule="auto"/>
        <w:jc w:val="both"/>
        <w:rPr>
          <w:rFonts w:cstheme="minorHAnsi"/>
          <w:bdr w:val="none" w:sz="0" w:space="0" w:color="auto" w:frame="1"/>
          <w:shd w:val="clear" w:color="auto" w:fill="FFFFFF"/>
        </w:rPr>
      </w:pPr>
      <w:r w:rsidRPr="0030183C">
        <w:rPr>
          <w:rFonts w:cstheme="minorHAnsi"/>
        </w:rPr>
        <w:t xml:space="preserve">The 2020 AHA guidelines </w:t>
      </w:r>
      <w:r w:rsidR="00C404B6" w:rsidRPr="0030183C">
        <w:rPr>
          <w:rFonts w:cstheme="minorHAnsi"/>
        </w:rPr>
        <w:t xml:space="preserve">also </w:t>
      </w:r>
      <w:r w:rsidRPr="0030183C">
        <w:rPr>
          <w:rFonts w:cstheme="minorHAnsi"/>
        </w:rPr>
        <w:t xml:space="preserve">note </w:t>
      </w:r>
      <w:r w:rsidR="00C404B6" w:rsidRPr="0030183C">
        <w:rPr>
          <w:rFonts w:cstheme="minorHAnsi"/>
        </w:rPr>
        <w:t>in a</w:t>
      </w:r>
      <w:r w:rsidRPr="0030183C">
        <w:rPr>
          <w:rFonts w:cstheme="minorHAnsi"/>
        </w:rPr>
        <w:t xml:space="preserve"> meta-analysis of two published studies (</w:t>
      </w:r>
      <w:r w:rsidR="00C404B6" w:rsidRPr="0030183C">
        <w:rPr>
          <w:rFonts w:cstheme="minorHAnsi"/>
        </w:rPr>
        <w:t>n=</w:t>
      </w:r>
      <w:r w:rsidRPr="0030183C">
        <w:rPr>
          <w:rFonts w:cstheme="minorHAnsi"/>
        </w:rPr>
        <w:t xml:space="preserve">10,178), only 0.01% (95% CI, 0.00-0.07%) of patients who fulfilled the ALS termination criteria survived to hospital discharge. </w:t>
      </w:r>
      <w:r w:rsidR="007C34B5" w:rsidRPr="0030183C">
        <w:rPr>
          <w:rFonts w:cstheme="minorHAnsi"/>
          <w:bdr w:val="none" w:sz="0" w:space="0" w:color="auto" w:frame="1"/>
          <w:shd w:val="clear" w:color="auto" w:fill="FFFFFF"/>
        </w:rPr>
        <w:t xml:space="preserve">The  ALS  TOR  rule </w:t>
      </w:r>
      <w:r w:rsidR="0030183C">
        <w:rPr>
          <w:rFonts w:cstheme="minorHAnsi"/>
          <w:bdr w:val="none" w:sz="0" w:space="0" w:color="auto" w:frame="1"/>
          <w:shd w:val="clear" w:color="auto" w:fill="FFFFFF"/>
        </w:rPr>
        <w:t xml:space="preserve"> recommends  terminating  resus</w:t>
      </w:r>
      <w:r w:rsidR="007C34B5" w:rsidRPr="0030183C">
        <w:rPr>
          <w:rFonts w:cstheme="minorHAnsi"/>
          <w:bdr w:val="none" w:sz="0" w:space="0" w:color="auto" w:frame="1"/>
          <w:shd w:val="clear" w:color="auto" w:fill="FFFFFF"/>
        </w:rPr>
        <w:t xml:space="preserve">citation  if  all  the  following  four  criteria  are  fulfilled:  the  cardiac  arrest  was  not  witnessed,  there  was  no  bystander  CPR,  there  was  an  absence  of  </w:t>
      </w:r>
      <w:r w:rsidR="00A91274" w:rsidRPr="0030183C">
        <w:rPr>
          <w:rFonts w:cstheme="minorHAnsi"/>
          <w:bdr w:val="none" w:sz="0" w:space="0" w:color="auto" w:frame="1"/>
          <w:shd w:val="clear" w:color="auto" w:fill="FFFFFF"/>
        </w:rPr>
        <w:t xml:space="preserve">ROSC </w:t>
      </w:r>
      <w:r w:rsidR="007C34B5" w:rsidRPr="0030183C">
        <w:rPr>
          <w:rFonts w:cstheme="minorHAnsi"/>
          <w:bdr w:val="none" w:sz="0" w:space="0" w:color="auto" w:frame="1"/>
          <w:shd w:val="clear" w:color="auto" w:fill="FFFFFF"/>
        </w:rPr>
        <w:t>before  transport,   and   an   absence   of   defibrillation   before   transport.</w:t>
      </w:r>
    </w:p>
    <w:p w14:paraId="4A44B8CD" w14:textId="0D131BD2" w:rsidR="0030183C" w:rsidRDefault="007C34B5" w:rsidP="003F14C9">
      <w:pPr>
        <w:widowControl w:val="0"/>
        <w:spacing w:after="0" w:line="240" w:lineRule="auto"/>
        <w:jc w:val="both"/>
        <w:rPr>
          <w:rFonts w:cstheme="minorHAnsi"/>
        </w:rPr>
      </w:pPr>
      <w:r w:rsidRPr="0030183C">
        <w:rPr>
          <w:rFonts w:cstheme="minorHAnsi"/>
        </w:rPr>
        <w:t>Both the</w:t>
      </w:r>
      <w:r w:rsidR="00585F70" w:rsidRPr="0030183C">
        <w:rPr>
          <w:rFonts w:cstheme="minorHAnsi"/>
        </w:rPr>
        <w:t xml:space="preserve"> BLS and ALS TOR (termination of resuscitation) rules have </w:t>
      </w:r>
      <w:r w:rsidRPr="0030183C">
        <w:rPr>
          <w:rFonts w:cstheme="minorHAnsi"/>
        </w:rPr>
        <w:t xml:space="preserve">been shown to have </w:t>
      </w:r>
      <w:r w:rsidR="00585F70" w:rsidRPr="0030183C">
        <w:rPr>
          <w:rFonts w:cstheme="minorHAnsi"/>
        </w:rPr>
        <w:t>good predictive value.</w:t>
      </w:r>
      <w:r w:rsidRPr="0030183C">
        <w:rPr>
          <w:rStyle w:val="FootnoteReference"/>
          <w:rFonts w:cstheme="minorHAnsi"/>
        </w:rPr>
        <w:footnoteReference w:id="12"/>
      </w:r>
      <w:r w:rsidR="0030183C" w:rsidRPr="0030183C">
        <w:rPr>
          <w:rFonts w:cstheme="minorHAnsi"/>
        </w:rPr>
        <w:t xml:space="preserve"> </w:t>
      </w:r>
    </w:p>
    <w:p w14:paraId="311EF66C" w14:textId="49D8918C" w:rsidR="0030183C" w:rsidRPr="0030183C" w:rsidRDefault="0030183C" w:rsidP="003F14C9">
      <w:pPr>
        <w:widowControl w:val="0"/>
        <w:spacing w:after="0" w:line="240" w:lineRule="auto"/>
        <w:jc w:val="both"/>
        <w:rPr>
          <w:rFonts w:cstheme="minorHAnsi"/>
          <w:b/>
        </w:rPr>
      </w:pPr>
      <w:r w:rsidRPr="0030183C">
        <w:rPr>
          <w:rFonts w:cstheme="minorHAnsi"/>
          <w:b/>
        </w:rPr>
        <w:t>Level of Evidence: Low certainty evidence</w:t>
      </w:r>
    </w:p>
    <w:p w14:paraId="2C79D3C5" w14:textId="6FB5934E" w:rsidR="0030183C" w:rsidRDefault="0030183C" w:rsidP="00F36A37">
      <w:pPr>
        <w:spacing w:after="0" w:line="240" w:lineRule="auto"/>
        <w:jc w:val="both"/>
        <w:rPr>
          <w:rFonts w:cstheme="minorHAnsi"/>
        </w:rPr>
      </w:pPr>
    </w:p>
    <w:p w14:paraId="23E0FC6B" w14:textId="0F973492" w:rsidR="00F36A37" w:rsidRPr="00762942" w:rsidRDefault="00762942" w:rsidP="00F36A37">
      <w:pPr>
        <w:spacing w:after="0" w:line="240" w:lineRule="auto"/>
        <w:jc w:val="both"/>
        <w:rPr>
          <w:rFonts w:cstheme="minorHAnsi"/>
          <w:bCs/>
          <w:color w:val="FF0000"/>
        </w:rPr>
      </w:pPr>
      <w:r w:rsidRPr="00762942">
        <w:rPr>
          <w:rFonts w:cstheme="minorHAnsi"/>
          <w:bCs/>
        </w:rPr>
        <w:t>The STG text was aligned with the PHC STG text as follows</w:t>
      </w:r>
      <w:r>
        <w:rPr>
          <w:rFonts w:cstheme="minorHAnsi"/>
          <w:bCs/>
          <w:color w:val="FF0000"/>
        </w:rPr>
        <w:t>:</w:t>
      </w:r>
    </w:p>
    <w:tbl>
      <w:tblPr>
        <w:tblStyle w:val="TableGrid"/>
        <w:tblW w:w="0" w:type="auto"/>
        <w:tblLook w:val="04A0" w:firstRow="1" w:lastRow="0" w:firstColumn="1" w:lastColumn="0" w:noHBand="0" w:noVBand="1"/>
      </w:tblPr>
      <w:tblGrid>
        <w:gridCol w:w="10456"/>
      </w:tblGrid>
      <w:tr w:rsidR="00762942" w:rsidRPr="00762942" w14:paraId="5968145B" w14:textId="77777777" w:rsidTr="00762942">
        <w:tc>
          <w:tcPr>
            <w:tcW w:w="10456" w:type="dxa"/>
          </w:tcPr>
          <w:p w14:paraId="52D10ED2" w14:textId="77777777" w:rsidR="00762942" w:rsidRPr="00762942" w:rsidRDefault="00762942" w:rsidP="00762942">
            <w:pPr>
              <w:pStyle w:val="Heading5"/>
              <w:outlineLvl w:val="4"/>
              <w:rPr>
                <w:rFonts w:asciiTheme="minorHAnsi" w:hAnsiTheme="minorHAnsi" w:cstheme="minorHAnsi"/>
                <w:b/>
                <w:bCs/>
                <w:color w:val="auto"/>
                <w:sz w:val="18"/>
                <w:szCs w:val="18"/>
              </w:rPr>
            </w:pPr>
            <w:r w:rsidRPr="00762942">
              <w:rPr>
                <w:rFonts w:asciiTheme="minorHAnsi" w:hAnsiTheme="minorHAnsi" w:cstheme="minorHAnsi"/>
                <w:b/>
                <w:bCs/>
                <w:color w:val="auto"/>
                <w:sz w:val="18"/>
                <w:szCs w:val="18"/>
              </w:rPr>
              <w:t>ADDITIONAL GUIDANCE</w:t>
            </w:r>
          </w:p>
          <w:p w14:paraId="39325D7D" w14:textId="5F7E8457" w:rsidR="00762942" w:rsidRPr="00762942" w:rsidRDefault="00762942" w:rsidP="00762942">
            <w:pPr>
              <w:pStyle w:val="NoSpacing"/>
              <w:rPr>
                <w:rFonts w:asciiTheme="minorHAnsi" w:hAnsiTheme="minorHAnsi" w:cstheme="minorHAnsi"/>
              </w:rPr>
            </w:pPr>
            <w:r w:rsidRPr="00762942">
              <w:rPr>
                <w:rFonts w:asciiTheme="minorHAnsi" w:hAnsiTheme="minorHAnsi" w:cstheme="minorHAnsi"/>
              </w:rPr>
              <w:t>Continue CPR until spontaneous breathing and/or heartbeat returns.</w:t>
            </w:r>
          </w:p>
          <w:p w14:paraId="5C395E06" w14:textId="77777777" w:rsidR="00762942" w:rsidRPr="00762942" w:rsidRDefault="00762942" w:rsidP="00762942">
            <w:pPr>
              <w:pStyle w:val="NoSpacing"/>
              <w:rPr>
                <w:rFonts w:asciiTheme="minorHAnsi" w:hAnsiTheme="minorHAnsi" w:cstheme="minorHAnsi"/>
              </w:rPr>
            </w:pPr>
            <w:r w:rsidRPr="00762942">
              <w:rPr>
                <w:rFonts w:asciiTheme="minorHAnsi" w:hAnsiTheme="minorHAnsi" w:cstheme="minorHAnsi"/>
              </w:rPr>
              <w:t>Assess continuously (every 2 minutes) until the patient shows signs of recovery.</w:t>
            </w:r>
          </w:p>
          <w:p w14:paraId="1FD8EF50" w14:textId="77777777" w:rsidR="00762942" w:rsidRPr="00762942" w:rsidRDefault="00762942" w:rsidP="00762942">
            <w:pPr>
              <w:pStyle w:val="NoSpacing"/>
              <w:rPr>
                <w:rFonts w:asciiTheme="minorHAnsi" w:hAnsiTheme="minorHAnsi" w:cstheme="minorHAnsi"/>
              </w:rPr>
            </w:pPr>
          </w:p>
          <w:p w14:paraId="60618F73" w14:textId="77777777" w:rsidR="00762942" w:rsidRPr="00762942" w:rsidRDefault="00762942" w:rsidP="00762942">
            <w:pPr>
              <w:pStyle w:val="NoSpacing"/>
              <w:rPr>
                <w:rFonts w:asciiTheme="minorHAnsi" w:hAnsiTheme="minorHAnsi" w:cstheme="minorHAnsi"/>
                <w:u w:val="single"/>
              </w:rPr>
            </w:pPr>
            <w:r w:rsidRPr="00762942">
              <w:rPr>
                <w:rFonts w:asciiTheme="minorHAnsi" w:hAnsiTheme="minorHAnsi" w:cstheme="minorHAnsi"/>
                <w:u w:val="single"/>
              </w:rPr>
              <w:t>Termination of resuscitation:</w:t>
            </w:r>
          </w:p>
          <w:p w14:paraId="19C9223F" w14:textId="77777777" w:rsidR="00762942" w:rsidRPr="00762942" w:rsidRDefault="00762942" w:rsidP="00762942">
            <w:pPr>
              <w:pStyle w:val="Level1"/>
              <w:numPr>
                <w:ilvl w:val="0"/>
                <w:numId w:val="16"/>
              </w:numPr>
              <w:tabs>
                <w:tab w:val="clear" w:pos="239"/>
                <w:tab w:val="left" w:pos="284"/>
              </w:tabs>
              <w:ind w:left="283" w:hangingChars="157" w:hanging="283"/>
              <w:jc w:val="both"/>
              <w:rPr>
                <w:rFonts w:asciiTheme="minorHAnsi" w:hAnsiTheme="minorHAnsi" w:cstheme="minorHAnsi"/>
                <w:sz w:val="18"/>
                <w:szCs w:val="18"/>
                <w:lang w:val="en-GB"/>
              </w:rPr>
            </w:pPr>
            <w:r w:rsidRPr="00762942">
              <w:rPr>
                <w:rFonts w:asciiTheme="minorHAnsi" w:hAnsiTheme="minorHAnsi" w:cstheme="minorHAnsi"/>
                <w:sz w:val="18"/>
                <w:szCs w:val="18"/>
                <w:lang w:val="en-GB"/>
              </w:rPr>
              <w:t>The decision to stop CPR attempts depends on the specifics of the individual patient and should be based on clinical judgement.</w:t>
            </w:r>
          </w:p>
          <w:p w14:paraId="54337AD7" w14:textId="77777777" w:rsidR="00762942" w:rsidRPr="00762942" w:rsidRDefault="00762942" w:rsidP="00762942">
            <w:pPr>
              <w:pStyle w:val="Level1"/>
              <w:numPr>
                <w:ilvl w:val="0"/>
                <w:numId w:val="16"/>
              </w:numPr>
              <w:tabs>
                <w:tab w:val="clear" w:pos="239"/>
                <w:tab w:val="left" w:pos="284"/>
              </w:tabs>
              <w:ind w:left="283" w:hangingChars="157" w:hanging="283"/>
              <w:jc w:val="both"/>
              <w:rPr>
                <w:rFonts w:asciiTheme="minorHAnsi" w:hAnsiTheme="minorHAnsi" w:cstheme="minorHAnsi"/>
                <w:sz w:val="18"/>
                <w:szCs w:val="18"/>
                <w:lang w:val="en-GB"/>
              </w:rPr>
            </w:pPr>
            <w:r w:rsidRPr="00762942">
              <w:rPr>
                <w:rFonts w:asciiTheme="minorHAnsi" w:hAnsiTheme="minorHAnsi" w:cstheme="minorHAnsi"/>
                <w:sz w:val="18"/>
                <w:szCs w:val="18"/>
                <w:lang w:val="en-GB"/>
              </w:rPr>
              <w:t>Consider stopping resuscitation attempts and pronouncing death if there is incurable underlying disease, or if asystole &gt; 20 minutes.</w:t>
            </w:r>
          </w:p>
          <w:p w14:paraId="1D8BA1E4" w14:textId="77777777" w:rsidR="00762942" w:rsidRPr="00762942" w:rsidRDefault="00762942" w:rsidP="00762942">
            <w:pPr>
              <w:pStyle w:val="Level1"/>
              <w:tabs>
                <w:tab w:val="left" w:pos="284"/>
              </w:tabs>
              <w:ind w:left="0" w:firstLine="0"/>
              <w:jc w:val="both"/>
              <w:rPr>
                <w:rFonts w:asciiTheme="minorHAnsi" w:hAnsiTheme="minorHAnsi" w:cstheme="minorHAnsi"/>
                <w:color w:val="000000"/>
                <w:sz w:val="18"/>
                <w:szCs w:val="18"/>
                <w:lang w:val="en-GB"/>
              </w:rPr>
            </w:pPr>
          </w:p>
          <w:p w14:paraId="10CE5949" w14:textId="77777777" w:rsidR="00762942" w:rsidRPr="00762942" w:rsidRDefault="00762942" w:rsidP="00762942">
            <w:pPr>
              <w:pStyle w:val="Level1"/>
              <w:tabs>
                <w:tab w:val="left" w:pos="284"/>
              </w:tabs>
              <w:ind w:left="0" w:firstLine="0"/>
              <w:jc w:val="both"/>
              <w:rPr>
                <w:rFonts w:asciiTheme="minorHAnsi" w:hAnsiTheme="minorHAnsi" w:cstheme="minorHAnsi"/>
                <w:sz w:val="18"/>
                <w:szCs w:val="18"/>
                <w:u w:val="single"/>
              </w:rPr>
            </w:pPr>
            <w:r w:rsidRPr="00762942">
              <w:rPr>
                <w:rFonts w:asciiTheme="minorHAnsi" w:hAnsiTheme="minorHAnsi" w:cstheme="minorHAnsi"/>
                <w:sz w:val="18"/>
                <w:szCs w:val="18"/>
                <w:u w:val="single"/>
              </w:rPr>
              <w:t xml:space="preserve">Consider carrying on for longer especially with: </w:t>
            </w:r>
          </w:p>
          <w:p w14:paraId="5743F480" w14:textId="77777777" w:rsidR="00762942" w:rsidRPr="00762942" w:rsidRDefault="00762942" w:rsidP="00762942">
            <w:pPr>
              <w:numPr>
                <w:ilvl w:val="0"/>
                <w:numId w:val="35"/>
              </w:numPr>
              <w:pBdr>
                <w:top w:val="nil"/>
                <w:left w:val="nil"/>
                <w:bottom w:val="nil"/>
                <w:right w:val="nil"/>
                <w:between w:val="nil"/>
                <w:bar w:val="nil"/>
              </w:pBdr>
              <w:jc w:val="both"/>
              <w:rPr>
                <w:rFonts w:eastAsia="Arial Unicode MS" w:cstheme="minorHAnsi"/>
                <w:color w:val="000000"/>
                <w:sz w:val="18"/>
                <w:szCs w:val="18"/>
                <w:bdr w:val="nil"/>
                <w:lang w:val="en-GB" w:eastAsia="en-ZA"/>
              </w:rPr>
            </w:pPr>
            <w:r w:rsidRPr="00762942">
              <w:rPr>
                <w:rFonts w:eastAsia="Arial Unicode MS" w:cstheme="minorHAnsi"/>
                <w:color w:val="000000"/>
                <w:sz w:val="18"/>
                <w:szCs w:val="18"/>
                <w:bdr w:val="nil"/>
                <w:lang w:val="en-GB" w:eastAsia="en-ZA"/>
              </w:rPr>
              <w:t>hypothermia and drowning</w:t>
            </w:r>
          </w:p>
          <w:p w14:paraId="6507A811" w14:textId="77777777" w:rsidR="00762942" w:rsidRPr="00762942" w:rsidRDefault="00762942" w:rsidP="00762942">
            <w:pPr>
              <w:numPr>
                <w:ilvl w:val="0"/>
                <w:numId w:val="35"/>
              </w:numPr>
              <w:pBdr>
                <w:top w:val="nil"/>
                <w:left w:val="nil"/>
                <w:bottom w:val="nil"/>
                <w:right w:val="nil"/>
                <w:between w:val="nil"/>
                <w:bar w:val="nil"/>
              </w:pBdr>
              <w:jc w:val="both"/>
              <w:rPr>
                <w:rFonts w:eastAsia="Arial Unicode MS" w:cstheme="minorHAnsi"/>
                <w:color w:val="000000"/>
                <w:sz w:val="18"/>
                <w:szCs w:val="18"/>
                <w:bdr w:val="nil"/>
                <w:lang w:val="en-GB" w:eastAsia="en-ZA"/>
              </w:rPr>
            </w:pPr>
            <w:r w:rsidRPr="00762942">
              <w:rPr>
                <w:rFonts w:eastAsia="Arial Unicode MS" w:cstheme="minorHAnsi"/>
                <w:color w:val="000000"/>
                <w:sz w:val="18"/>
                <w:szCs w:val="18"/>
                <w:bdr w:val="nil"/>
                <w:lang w:val="en-GB" w:eastAsia="en-ZA"/>
              </w:rPr>
              <w:t xml:space="preserve">poisoning or medicine overdose </w:t>
            </w:r>
          </w:p>
          <w:p w14:paraId="71C77EA5" w14:textId="5CC416F8" w:rsidR="00762942" w:rsidRPr="00762942" w:rsidRDefault="00762942" w:rsidP="00762942">
            <w:pPr>
              <w:numPr>
                <w:ilvl w:val="0"/>
                <w:numId w:val="35"/>
              </w:numPr>
              <w:pBdr>
                <w:top w:val="nil"/>
                <w:left w:val="nil"/>
                <w:bottom w:val="nil"/>
                <w:right w:val="nil"/>
                <w:between w:val="nil"/>
                <w:bar w:val="nil"/>
              </w:pBdr>
              <w:jc w:val="both"/>
              <w:rPr>
                <w:rFonts w:eastAsia="Arial Unicode MS" w:cstheme="minorHAnsi"/>
                <w:color w:val="000000"/>
                <w:sz w:val="18"/>
                <w:szCs w:val="18"/>
                <w:bdr w:val="nil"/>
                <w:lang w:val="en-GB" w:eastAsia="en-ZA"/>
              </w:rPr>
            </w:pPr>
            <w:r w:rsidRPr="00762942">
              <w:rPr>
                <w:rFonts w:eastAsia="Arial Unicode MS" w:cstheme="minorHAnsi"/>
                <w:color w:val="000000"/>
                <w:sz w:val="18"/>
                <w:szCs w:val="18"/>
                <w:bdr w:val="nil"/>
                <w:lang w:val="en-GB" w:eastAsia="en-ZA"/>
              </w:rPr>
              <w:t xml:space="preserve">neurotoxic envenomation (e.g., black and green mamba or Cape cobra snakebite) – see Section 21.3.1.4: Snakebites </w:t>
            </w:r>
          </w:p>
          <w:p w14:paraId="5F6FA70A" w14:textId="73D7C76B" w:rsidR="00762942" w:rsidRPr="00762942" w:rsidRDefault="00762942" w:rsidP="00762942">
            <w:pPr>
              <w:pStyle w:val="Level1"/>
              <w:tabs>
                <w:tab w:val="left" w:pos="284"/>
              </w:tabs>
              <w:ind w:left="0" w:firstLine="0"/>
              <w:jc w:val="both"/>
              <w:rPr>
                <w:rFonts w:asciiTheme="minorHAnsi" w:hAnsiTheme="minorHAnsi" w:cstheme="minorHAnsi"/>
                <w:color w:val="000000"/>
                <w:sz w:val="18"/>
                <w:szCs w:val="18"/>
                <w:lang w:val="en-GB"/>
              </w:rPr>
            </w:pPr>
            <w:r w:rsidRPr="00762942">
              <w:rPr>
                <w:rFonts w:asciiTheme="minorHAnsi" w:hAnsiTheme="minorHAnsi" w:cstheme="minorHAnsi"/>
                <w:color w:val="000000"/>
                <w:sz w:val="18"/>
                <w:szCs w:val="18"/>
                <w:lang w:val="en-GB"/>
              </w:rPr>
              <w:t>This decision should take into consideration the potential risk that CPR poses to the rescuer e.g., infectious diseases.</w:t>
            </w:r>
          </w:p>
        </w:tc>
      </w:tr>
    </w:tbl>
    <w:p w14:paraId="23BBA10C" w14:textId="77777777" w:rsidR="00762942" w:rsidRDefault="00762942" w:rsidP="00F36A37">
      <w:pPr>
        <w:spacing w:after="0" w:line="240" w:lineRule="auto"/>
        <w:jc w:val="both"/>
        <w:rPr>
          <w:rFonts w:cstheme="minorHAnsi"/>
        </w:rPr>
      </w:pPr>
    </w:p>
    <w:p w14:paraId="0CD7C3BB" w14:textId="77777777" w:rsidR="00F36A37" w:rsidRDefault="00F36A37" w:rsidP="00F36A37">
      <w:pPr>
        <w:spacing w:after="0" w:line="240" w:lineRule="auto"/>
        <w:jc w:val="both"/>
        <w:rPr>
          <w:rFonts w:cstheme="minorHAnsi"/>
        </w:rPr>
      </w:pPr>
    </w:p>
    <w:tbl>
      <w:tblPr>
        <w:tblW w:w="5000" w:type="pct"/>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ook w:val="00A0" w:firstRow="1" w:lastRow="0" w:firstColumn="1" w:lastColumn="0" w:noHBand="0" w:noVBand="0"/>
      </w:tblPr>
      <w:tblGrid>
        <w:gridCol w:w="10436"/>
      </w:tblGrid>
      <w:tr w:rsidR="00680C6C" w:rsidRPr="00600007" w14:paraId="7335A62E" w14:textId="77777777" w:rsidTr="00616EA6">
        <w:tc>
          <w:tcPr>
            <w:tcW w:w="5000" w:type="pct"/>
            <w:tcBorders>
              <w:top w:val="double" w:sz="4" w:space="0" w:color="C0C0C0"/>
              <w:left w:val="double" w:sz="4" w:space="0" w:color="C0C0C0"/>
              <w:bottom w:val="double" w:sz="4" w:space="0" w:color="C0C0C0"/>
              <w:right w:val="double" w:sz="4" w:space="0" w:color="C0C0C0"/>
            </w:tcBorders>
          </w:tcPr>
          <w:p w14:paraId="29566A38" w14:textId="65C4CD24" w:rsidR="00680C6C" w:rsidRPr="00600007" w:rsidRDefault="0030183C" w:rsidP="0030183C">
            <w:pPr>
              <w:widowControl w:val="0"/>
              <w:autoSpaceDE w:val="0"/>
              <w:autoSpaceDN w:val="0"/>
              <w:adjustRightInd w:val="0"/>
              <w:spacing w:before="120" w:after="120" w:line="240" w:lineRule="auto"/>
              <w:rPr>
                <w:rFonts w:cs="Calibri"/>
                <w:b/>
                <w:lang w:val="en-GB"/>
              </w:rPr>
            </w:pPr>
            <w:r>
              <w:rPr>
                <w:rFonts w:cs="Calibri"/>
                <w:b/>
                <w:spacing w:val="-4"/>
                <w:szCs w:val="20"/>
                <w:lang w:val="en-GB"/>
              </w:rPr>
              <w:t>2</w:t>
            </w:r>
            <w:r w:rsidR="00E9569F">
              <w:rPr>
                <w:rFonts w:cs="Calibri"/>
                <w:b/>
                <w:spacing w:val="-4"/>
                <w:szCs w:val="20"/>
                <w:lang w:val="en-GB"/>
              </w:rPr>
              <w:t xml:space="preserve">0.2 POST CARDIAC ARREST </w:t>
            </w:r>
            <w:r w:rsidR="00680C6C">
              <w:rPr>
                <w:rFonts w:cs="Calibri"/>
                <w:b/>
                <w:spacing w:val="-4"/>
                <w:szCs w:val="20"/>
                <w:lang w:val="en-GB"/>
              </w:rPr>
              <w:t xml:space="preserve"> </w:t>
            </w:r>
          </w:p>
        </w:tc>
      </w:tr>
    </w:tbl>
    <w:p w14:paraId="6CEB3219" w14:textId="246D3ACF" w:rsidR="00BB4970" w:rsidRDefault="00E9569F" w:rsidP="00680C6C">
      <w:pPr>
        <w:spacing w:after="0" w:line="240" w:lineRule="auto"/>
        <w:jc w:val="both"/>
        <w:rPr>
          <w:i/>
          <w:lang w:val="en-GB"/>
        </w:rPr>
      </w:pPr>
      <w:r w:rsidRPr="00E9569F">
        <w:rPr>
          <w:u w:val="single"/>
          <w:lang w:val="en-GB"/>
        </w:rPr>
        <w:t>Oxygen:</w:t>
      </w:r>
      <w:r>
        <w:rPr>
          <w:u w:val="single"/>
          <w:lang w:val="en-GB"/>
        </w:rPr>
        <w:t xml:space="preserve"> </w:t>
      </w:r>
      <w:r w:rsidRPr="00E9569F">
        <w:rPr>
          <w:i/>
          <w:iCs/>
          <w:lang w:val="en-GB"/>
        </w:rPr>
        <w:t>cut-off amended</w:t>
      </w:r>
    </w:p>
    <w:p w14:paraId="55DD5901" w14:textId="16499938" w:rsidR="00E9569F" w:rsidRDefault="00E9569F" w:rsidP="00465ED0">
      <w:pPr>
        <w:spacing w:after="0" w:line="240" w:lineRule="auto"/>
        <w:jc w:val="both"/>
      </w:pPr>
      <w:r>
        <w:rPr>
          <w:lang w:val="en-GB"/>
        </w:rPr>
        <w:t>The</w:t>
      </w:r>
      <w:r>
        <w:t xml:space="preserve"> cut-off for oxygen administration was made consistent with the NEMLC-approved draft PHCSTG ratified on the 24 February 2022</w:t>
      </w:r>
      <w:r>
        <w:rPr>
          <w:rStyle w:val="FootnoteReference"/>
        </w:rPr>
        <w:footnoteReference w:id="13"/>
      </w:r>
      <w:r>
        <w:t xml:space="preserve"> and the extract from the respective NEMLC report below:</w:t>
      </w:r>
    </w:p>
    <w:tbl>
      <w:tblPr>
        <w:tblStyle w:val="TableGrid"/>
        <w:tblW w:w="0" w:type="auto"/>
        <w:tblLook w:val="04A0" w:firstRow="1" w:lastRow="0" w:firstColumn="1" w:lastColumn="0" w:noHBand="0" w:noVBand="1"/>
      </w:tblPr>
      <w:tblGrid>
        <w:gridCol w:w="10456"/>
      </w:tblGrid>
      <w:tr w:rsidR="00E9569F" w:rsidRPr="00E9569F" w14:paraId="485D3596" w14:textId="77777777" w:rsidTr="00E9569F">
        <w:tc>
          <w:tcPr>
            <w:tcW w:w="10456" w:type="dxa"/>
          </w:tcPr>
          <w:p w14:paraId="7919914E" w14:textId="77777777" w:rsidR="00E9569F" w:rsidRPr="00E9569F" w:rsidRDefault="00E9569F" w:rsidP="00465ED0">
            <w:pPr>
              <w:jc w:val="both"/>
              <w:rPr>
                <w:b/>
                <w:bCs/>
                <w:i/>
                <w:iCs/>
                <w:color w:val="FF0000"/>
                <w:u w:val="single"/>
              </w:rPr>
            </w:pPr>
            <w:r w:rsidRPr="00E9569F">
              <w:rPr>
                <w:b/>
                <w:bCs/>
                <w:i/>
                <w:iCs/>
                <w:color w:val="FF0000"/>
                <w:u w:val="single"/>
              </w:rPr>
              <w:t xml:space="preserve">NEMLC MEETING OF 24 FEBRUARY 2022: </w:t>
            </w:r>
          </w:p>
          <w:p w14:paraId="42041A97" w14:textId="77777777" w:rsidR="00E9569F" w:rsidRPr="00E9569F" w:rsidRDefault="00E9569F" w:rsidP="00465ED0">
            <w:pPr>
              <w:jc w:val="both"/>
              <w:rPr>
                <w:i/>
                <w:iCs/>
                <w:color w:val="FF0000"/>
              </w:rPr>
            </w:pPr>
            <w:r w:rsidRPr="00E9569F">
              <w:rPr>
                <w:i/>
                <w:iCs/>
                <w:color w:val="FF0000"/>
              </w:rPr>
              <w:t>Refer to the evidence summary:</w:t>
            </w:r>
          </w:p>
          <w:bookmarkStart w:id="3" w:name="_MON_1726703959"/>
          <w:bookmarkEnd w:id="3"/>
          <w:p w14:paraId="31192367" w14:textId="68497140" w:rsidR="00E9569F" w:rsidRPr="00E9569F" w:rsidRDefault="00E9569F" w:rsidP="00465ED0">
            <w:pPr>
              <w:jc w:val="both"/>
              <w:rPr>
                <w:i/>
                <w:iCs/>
                <w:color w:val="FF0000"/>
              </w:rPr>
            </w:pPr>
            <w:r>
              <w:rPr>
                <w:i/>
                <w:iCs/>
                <w:color w:val="FF0000"/>
              </w:rPr>
              <w:object w:dxaOrig="1520" w:dyaOrig="985" w14:anchorId="20197F05">
                <v:shape id="_x0000_i1026" type="#_x0000_t75" style="width:76.2pt;height:49.8pt" o:ole="">
                  <v:imagedata r:id="rId14" o:title=""/>
                </v:shape>
                <o:OLEObject Type="Embed" ProgID="Word.Document.12" ShapeID="_x0000_i1026" DrawAspect="Icon" ObjectID="_1728018819" r:id="rId15">
                  <o:FieldCodes>\s</o:FieldCodes>
                </o:OLEObject>
              </w:object>
            </w:r>
          </w:p>
          <w:p w14:paraId="289B0573" w14:textId="77777777" w:rsidR="00E9569F" w:rsidRPr="00E9569F" w:rsidRDefault="00E9569F" w:rsidP="00E9569F">
            <w:pPr>
              <w:jc w:val="both"/>
              <w:rPr>
                <w:i/>
                <w:iCs/>
                <w:color w:val="FF0000"/>
              </w:rPr>
            </w:pPr>
            <w:r w:rsidRPr="00E9569F">
              <w:rPr>
                <w:b/>
                <w:bCs/>
                <w:i/>
                <w:iCs/>
                <w:color w:val="FF0000"/>
              </w:rPr>
              <w:t>Recommendation</w:t>
            </w:r>
            <w:r w:rsidRPr="00E9569F">
              <w:rPr>
                <w:i/>
                <w:iCs/>
                <w:color w:val="FF0000"/>
              </w:rPr>
              <w:t xml:space="preserve">: Based on this review, the PHC/Adult Hospital Level Committee recommends that the current </w:t>
            </w:r>
          </w:p>
          <w:p w14:paraId="7A58FB6C" w14:textId="1ADB2635" w:rsidR="00E9569F" w:rsidRPr="00E9569F" w:rsidRDefault="00E9569F" w:rsidP="00E9569F">
            <w:pPr>
              <w:jc w:val="both"/>
              <w:rPr>
                <w:i/>
                <w:iCs/>
                <w:color w:val="FF0000"/>
              </w:rPr>
            </w:pPr>
            <w:r w:rsidRPr="00E9569F">
              <w:rPr>
                <w:i/>
                <w:iCs/>
                <w:color w:val="FF0000"/>
              </w:rPr>
              <w:t>recommendation be retained for oxygen supplementation, only if saturation &lt;94% with an additional caution not to administer oxygen if the patient is not hypoxic (conditional recommendation, moderate certainty evidence).</w:t>
            </w:r>
          </w:p>
          <w:p w14:paraId="4F5C6654" w14:textId="685D88AB" w:rsidR="00E9569F" w:rsidRPr="00E9569F" w:rsidRDefault="00E9569F" w:rsidP="00E9569F">
            <w:pPr>
              <w:jc w:val="both"/>
              <w:rPr>
                <w:i/>
                <w:iCs/>
                <w:color w:val="FF0000"/>
              </w:rPr>
            </w:pPr>
            <w:r w:rsidRPr="00E9569F">
              <w:rPr>
                <w:i/>
                <w:iCs/>
                <w:color w:val="FF0000"/>
              </w:rPr>
              <w:t>Rationale: Evidence suggests that acutely ill patients randomised to liberal oxygen therapy were more likely to die, without improving other patient outcomes. For pragmatic purposes the current recommendation of &lt;94% be retained.</w:t>
            </w:r>
          </w:p>
          <w:p w14:paraId="26CE857A" w14:textId="77777777" w:rsidR="00E9569F" w:rsidRPr="00E9569F" w:rsidRDefault="00E9569F" w:rsidP="00E9569F">
            <w:pPr>
              <w:jc w:val="both"/>
              <w:rPr>
                <w:b/>
                <w:bCs/>
                <w:i/>
                <w:iCs/>
                <w:color w:val="FF0000"/>
              </w:rPr>
            </w:pPr>
            <w:r w:rsidRPr="00E9569F">
              <w:rPr>
                <w:b/>
                <w:bCs/>
                <w:i/>
                <w:iCs/>
                <w:color w:val="FF0000"/>
              </w:rPr>
              <w:t>Level of Evidence: Moderate certainty evidence</w:t>
            </w:r>
          </w:p>
          <w:p w14:paraId="24075539" w14:textId="77D04703" w:rsidR="00E9569F" w:rsidRPr="00E9569F" w:rsidRDefault="00E9569F" w:rsidP="00E9569F">
            <w:pPr>
              <w:jc w:val="both"/>
              <w:rPr>
                <w:color w:val="FF0000"/>
              </w:rPr>
            </w:pPr>
            <w:r w:rsidRPr="00E9569F">
              <w:rPr>
                <w:b/>
                <w:bCs/>
                <w:i/>
                <w:iCs/>
                <w:color w:val="FF0000"/>
              </w:rPr>
              <w:t>Review indicator</w:t>
            </w:r>
            <w:r w:rsidRPr="00E9569F">
              <w:rPr>
                <w:i/>
                <w:iCs/>
                <w:color w:val="FF0000"/>
              </w:rPr>
              <w:t>: New evidence that will change the recommendation</w:t>
            </w:r>
          </w:p>
        </w:tc>
      </w:tr>
    </w:tbl>
    <w:p w14:paraId="7053FFFE" w14:textId="0E419A17" w:rsidR="00E9569F" w:rsidRDefault="00E9569F" w:rsidP="00680C6C">
      <w:pPr>
        <w:spacing w:after="0" w:line="240" w:lineRule="auto"/>
        <w:jc w:val="both"/>
        <w:rPr>
          <w:b/>
          <w:lang w:val="en-GB"/>
        </w:rPr>
      </w:pPr>
    </w:p>
    <w:p w14:paraId="23F00459" w14:textId="77777777" w:rsidR="000B1C4C" w:rsidRPr="000B1C4C" w:rsidRDefault="000B1C4C" w:rsidP="000B1C4C">
      <w:pPr>
        <w:pBdr>
          <w:top w:val="nil"/>
          <w:left w:val="nil"/>
          <w:bottom w:val="nil"/>
          <w:right w:val="nil"/>
          <w:between w:val="nil"/>
          <w:bar w:val="nil"/>
        </w:pBdr>
        <w:spacing w:after="0" w:line="240" w:lineRule="auto"/>
        <w:jc w:val="both"/>
        <w:rPr>
          <w:rFonts w:eastAsia="Arial" w:cstheme="minorHAnsi"/>
          <w:b/>
          <w:bCs/>
          <w:iCs/>
          <w:color w:val="000000"/>
          <w:bdr w:val="nil"/>
          <w:lang w:val="en-GB" w:eastAsia="en-ZA"/>
        </w:rPr>
      </w:pPr>
      <w:r w:rsidRPr="000B1C4C">
        <w:rPr>
          <w:rFonts w:eastAsia="Arial Unicode MS" w:cstheme="minorHAnsi"/>
          <w:b/>
          <w:bCs/>
          <w:iCs/>
          <w:color w:val="000000"/>
          <w:bdr w:val="nil"/>
          <w:lang w:val="en-GB" w:eastAsia="en-ZA"/>
        </w:rPr>
        <w:t>Temperature control</w:t>
      </w:r>
    </w:p>
    <w:p w14:paraId="6FF13D21" w14:textId="7F616A41" w:rsidR="00CD2937" w:rsidRDefault="000B1C4C" w:rsidP="009978C3">
      <w:pPr>
        <w:pStyle w:val="ListParagraph"/>
        <w:spacing w:after="0" w:line="240" w:lineRule="auto"/>
        <w:ind w:left="0"/>
        <w:jc w:val="both"/>
        <w:rPr>
          <w:rFonts w:cstheme="minorHAnsi"/>
          <w:bCs/>
        </w:rPr>
      </w:pPr>
      <w:r w:rsidRPr="000B1C4C">
        <w:rPr>
          <w:rFonts w:cstheme="minorHAnsi"/>
          <w:bCs/>
        </w:rPr>
        <w:t>The STG text was amended as follows, based on the</w:t>
      </w:r>
      <w:r w:rsidR="00DC6F45">
        <w:rPr>
          <w:rFonts w:cstheme="minorHAnsi"/>
          <w:bCs/>
        </w:rPr>
        <w:t xml:space="preserve"> open-label</w:t>
      </w:r>
      <w:r w:rsidR="006D2025">
        <w:rPr>
          <w:rFonts w:cstheme="minorHAnsi"/>
          <w:bCs/>
        </w:rPr>
        <w:t xml:space="preserve"> </w:t>
      </w:r>
      <w:r w:rsidRPr="000B1C4C">
        <w:rPr>
          <w:rFonts w:cstheme="minorHAnsi"/>
          <w:bCs/>
        </w:rPr>
        <w:t>TT</w:t>
      </w:r>
      <w:r>
        <w:rPr>
          <w:rFonts w:cstheme="minorHAnsi"/>
          <w:bCs/>
        </w:rPr>
        <w:t>M1</w:t>
      </w:r>
      <w:r w:rsidRPr="000B1C4C">
        <w:rPr>
          <w:rFonts w:cstheme="minorHAnsi"/>
          <w:bCs/>
        </w:rPr>
        <w:t xml:space="preserve"> </w:t>
      </w:r>
      <w:r w:rsidR="00DC6F45">
        <w:rPr>
          <w:rFonts w:cstheme="minorHAnsi"/>
          <w:bCs/>
        </w:rPr>
        <w:t xml:space="preserve">RCT (n= 1900) with blinded outcome assessors that compared </w:t>
      </w:r>
      <w:r w:rsidR="00DC6F45" w:rsidRPr="00DC6F45">
        <w:rPr>
          <w:rFonts w:cstheme="minorHAnsi"/>
          <w:bCs/>
        </w:rPr>
        <w:t xml:space="preserve">adults </w:t>
      </w:r>
      <w:r w:rsidR="00DC6F45">
        <w:rPr>
          <w:rFonts w:cstheme="minorHAnsi"/>
          <w:bCs/>
        </w:rPr>
        <w:t>(</w:t>
      </w:r>
      <w:r w:rsidR="00DC6F45" w:rsidRPr="00DC6F45">
        <w:rPr>
          <w:rFonts w:cstheme="minorHAnsi"/>
          <w:bCs/>
        </w:rPr>
        <w:t>with coma who had had an out-of-hospital cardiac arrest of presumed cardiac or unknown cause</w:t>
      </w:r>
      <w:r w:rsidR="00DC6F45">
        <w:rPr>
          <w:rFonts w:cstheme="minorHAnsi"/>
          <w:bCs/>
        </w:rPr>
        <w:t>) undergoing hypothermia (</w:t>
      </w:r>
      <w:r w:rsidR="00DC6F45" w:rsidRPr="00DC6F45">
        <w:rPr>
          <w:rFonts w:cstheme="minorHAnsi"/>
          <w:bCs/>
        </w:rPr>
        <w:t>33°C</w:t>
      </w:r>
      <w:r w:rsidR="00DC6F45">
        <w:rPr>
          <w:rFonts w:cstheme="minorHAnsi"/>
          <w:bCs/>
        </w:rPr>
        <w:t>) or normothermia (</w:t>
      </w:r>
      <w:r w:rsidR="00DC6F45" w:rsidRPr="00DC6F45">
        <w:rPr>
          <w:rFonts w:cstheme="minorHAnsi"/>
          <w:bCs/>
        </w:rPr>
        <w:t>≥37.8°C)</w:t>
      </w:r>
      <w:r w:rsidR="00DC6F45">
        <w:rPr>
          <w:rFonts w:cstheme="minorHAnsi"/>
          <w:bCs/>
        </w:rPr>
        <w:t xml:space="preserve"> </w:t>
      </w:r>
      <w:r w:rsidR="00CD2937" w:rsidRPr="000B1C4C">
        <w:rPr>
          <w:rFonts w:cstheme="minorHAnsi"/>
          <w:bCs/>
        </w:rPr>
        <w:t>found no difference in normothermia compared to hypothermia post cardiac arrest</w:t>
      </w:r>
      <w:r w:rsidR="00D87C18">
        <w:rPr>
          <w:rFonts w:cstheme="minorHAnsi"/>
          <w:bCs/>
        </w:rPr>
        <w:t>, with evidence of harm</w:t>
      </w:r>
      <w:r w:rsidR="006D2025">
        <w:rPr>
          <w:rFonts w:cstheme="minorHAnsi"/>
          <w:bCs/>
        </w:rPr>
        <w:t xml:space="preserve"> from hypothermia</w:t>
      </w:r>
      <w:r w:rsidR="00CD2937" w:rsidRPr="000B1C4C">
        <w:rPr>
          <w:rFonts w:cstheme="minorHAnsi"/>
          <w:bCs/>
        </w:rPr>
        <w:t>.</w:t>
      </w:r>
      <w:r w:rsidR="00CD2937" w:rsidRPr="00CD2937">
        <w:rPr>
          <w:rStyle w:val="FootnoteReference"/>
          <w:rFonts w:cstheme="minorHAnsi"/>
          <w:bCs/>
        </w:rPr>
        <w:t xml:space="preserve"> </w:t>
      </w:r>
      <w:r w:rsidR="00CD2937" w:rsidRPr="000B1C4C">
        <w:rPr>
          <w:rStyle w:val="FootnoteReference"/>
          <w:rFonts w:cstheme="minorHAnsi"/>
          <w:bCs/>
        </w:rPr>
        <w:footnoteReference w:id="14"/>
      </w:r>
      <w:r w:rsidR="00CD2937" w:rsidRPr="000B1C4C">
        <w:rPr>
          <w:rFonts w:cstheme="minorHAnsi"/>
          <w:bCs/>
        </w:rPr>
        <w:t xml:space="preserve"> </w:t>
      </w:r>
    </w:p>
    <w:tbl>
      <w:tblPr>
        <w:tblStyle w:val="TableGrid"/>
        <w:tblW w:w="0" w:type="auto"/>
        <w:tblLook w:val="04A0" w:firstRow="1" w:lastRow="0" w:firstColumn="1" w:lastColumn="0" w:noHBand="0" w:noVBand="1"/>
      </w:tblPr>
      <w:tblGrid>
        <w:gridCol w:w="10456"/>
      </w:tblGrid>
      <w:tr w:rsidR="00CD2937" w:rsidRPr="00E84108" w14:paraId="5737C3B3" w14:textId="77777777" w:rsidTr="00832661">
        <w:trPr>
          <w:trHeight w:val="618"/>
        </w:trPr>
        <w:tc>
          <w:tcPr>
            <w:tcW w:w="10456" w:type="dxa"/>
          </w:tcPr>
          <w:p w14:paraId="0A401379" w14:textId="32C11267" w:rsidR="00CD2937" w:rsidRPr="00E84108" w:rsidRDefault="00CD2937" w:rsidP="00832661">
            <w:pPr>
              <w:pStyle w:val="ListParagraph"/>
              <w:ind w:left="0"/>
              <w:jc w:val="both"/>
              <w:rPr>
                <w:rFonts w:cstheme="minorHAnsi"/>
                <w:bCs/>
                <w:sz w:val="20"/>
                <w:szCs w:val="20"/>
              </w:rPr>
            </w:pPr>
            <w:r w:rsidRPr="00E84108">
              <w:rPr>
                <w:rFonts w:cstheme="minorHAnsi"/>
                <w:bCs/>
                <w:sz w:val="20"/>
                <w:szCs w:val="20"/>
                <w:u w:val="single"/>
              </w:rPr>
              <w:lastRenderedPageBreak/>
              <w:t>Aim for normothermia by preventing fever</w:t>
            </w:r>
            <w:r w:rsidR="006D2025">
              <w:rPr>
                <w:rFonts w:cstheme="minorHAnsi"/>
                <w:bCs/>
                <w:sz w:val="20"/>
                <w:szCs w:val="20"/>
                <w:u w:val="single"/>
              </w:rPr>
              <w:t>.</w:t>
            </w:r>
            <w:r w:rsidRPr="00E84108">
              <w:rPr>
                <w:rFonts w:cstheme="minorHAnsi"/>
                <w:bCs/>
                <w:sz w:val="20"/>
                <w:szCs w:val="20"/>
                <w:u w:val="single"/>
              </w:rPr>
              <w:t xml:space="preserve"> Strictly avoid fever</w:t>
            </w:r>
            <w:r w:rsidRPr="00E84108">
              <w:rPr>
                <w:rFonts w:cstheme="minorHAnsi"/>
                <w:bCs/>
                <w:sz w:val="20"/>
                <w:szCs w:val="20"/>
              </w:rPr>
              <w:t xml:space="preserve"> </w:t>
            </w:r>
            <w:r w:rsidRPr="00E84108">
              <w:rPr>
                <w:rFonts w:cstheme="minorHAnsi"/>
                <w:bCs/>
                <w:strike/>
                <w:sz w:val="20"/>
                <w:szCs w:val="20"/>
              </w:rPr>
              <w:t>Aim to control temperature below 36ºC in unconscious patients</w:t>
            </w:r>
            <w:r w:rsidRPr="00E84108">
              <w:rPr>
                <w:rFonts w:cstheme="minorHAnsi"/>
                <w:bCs/>
                <w:sz w:val="20"/>
                <w:szCs w:val="20"/>
              </w:rPr>
              <w:t xml:space="preserve"> in the first 24 hours, using physical cooling methods e.g.: ice packs and fans, and antipyretics.</w:t>
            </w:r>
          </w:p>
        </w:tc>
      </w:tr>
    </w:tbl>
    <w:p w14:paraId="37EA5418" w14:textId="77777777" w:rsidR="00CD2937" w:rsidRPr="003C6B30" w:rsidRDefault="00CD2937" w:rsidP="003F14C9">
      <w:pPr>
        <w:spacing w:after="0" w:line="240" w:lineRule="auto"/>
        <w:rPr>
          <w:b/>
          <w:bCs/>
        </w:rPr>
      </w:pPr>
      <w:r>
        <w:rPr>
          <w:b/>
          <w:bCs/>
        </w:rPr>
        <w:t xml:space="preserve">Level of Evidence: </w:t>
      </w:r>
      <w:r w:rsidRPr="003C6B30">
        <w:rPr>
          <w:b/>
          <w:bCs/>
        </w:rPr>
        <w:t>Low certainty evidence</w:t>
      </w:r>
    </w:p>
    <w:p w14:paraId="05D34C84" w14:textId="26DECDE5" w:rsidR="00CD2937" w:rsidRDefault="00CD2937" w:rsidP="009978C3">
      <w:pPr>
        <w:pStyle w:val="ListParagraph"/>
        <w:spacing w:after="0" w:line="240" w:lineRule="auto"/>
        <w:ind w:left="0"/>
        <w:jc w:val="both"/>
        <w:rPr>
          <w:rFonts w:cstheme="minorHAnsi"/>
          <w:bCs/>
        </w:rPr>
      </w:pPr>
    </w:p>
    <w:p w14:paraId="4C8D890E" w14:textId="11DD2DCC" w:rsidR="00CD2937" w:rsidRPr="00D87C18" w:rsidRDefault="00D87C18" w:rsidP="009978C3">
      <w:pPr>
        <w:pStyle w:val="ListParagraph"/>
        <w:spacing w:after="0" w:line="240" w:lineRule="auto"/>
        <w:ind w:left="0"/>
        <w:jc w:val="both"/>
        <w:rPr>
          <w:rFonts w:cstheme="minorHAnsi"/>
          <w:bCs/>
          <w:i/>
          <w:iCs/>
        </w:rPr>
      </w:pPr>
      <w:r w:rsidRPr="00D87C18">
        <w:rPr>
          <w:rFonts w:cstheme="minorHAnsi"/>
          <w:bCs/>
          <w:i/>
          <w:iCs/>
        </w:rPr>
        <w:t>Study results:</w:t>
      </w:r>
    </w:p>
    <w:p w14:paraId="2B3CFDCF" w14:textId="6A7FC36F" w:rsidR="00CD2937" w:rsidRDefault="00DC6F45" w:rsidP="00CD2937">
      <w:pPr>
        <w:pStyle w:val="ListParagraph"/>
        <w:numPr>
          <w:ilvl w:val="0"/>
          <w:numId w:val="39"/>
        </w:numPr>
        <w:spacing w:after="0" w:line="240" w:lineRule="auto"/>
        <w:jc w:val="both"/>
        <w:rPr>
          <w:rFonts w:cstheme="minorHAnsi"/>
          <w:bCs/>
        </w:rPr>
      </w:pPr>
      <w:r w:rsidRPr="00DC6F45">
        <w:rPr>
          <w:rFonts w:cstheme="minorHAnsi"/>
          <w:bCs/>
        </w:rPr>
        <w:t xml:space="preserve">At 6 months, </w:t>
      </w:r>
      <w:r w:rsidR="008F1727">
        <w:rPr>
          <w:rFonts w:cstheme="minorHAnsi"/>
          <w:bCs/>
        </w:rPr>
        <w:t xml:space="preserve">there was no reduction in mortality - </w:t>
      </w:r>
      <w:r w:rsidR="00CD2937">
        <w:rPr>
          <w:rFonts w:cstheme="minorHAnsi"/>
          <w:bCs/>
        </w:rPr>
        <w:t>50% (</w:t>
      </w:r>
      <w:r w:rsidRPr="00DC6F45">
        <w:rPr>
          <w:rFonts w:cstheme="minorHAnsi"/>
          <w:bCs/>
        </w:rPr>
        <w:t>465</w:t>
      </w:r>
      <w:r w:rsidR="00CD2937">
        <w:rPr>
          <w:rFonts w:cstheme="minorHAnsi"/>
          <w:bCs/>
        </w:rPr>
        <w:t>/</w:t>
      </w:r>
      <w:r w:rsidRPr="00DC6F45">
        <w:rPr>
          <w:rFonts w:cstheme="minorHAnsi"/>
          <w:bCs/>
        </w:rPr>
        <w:t xml:space="preserve"> 925</w:t>
      </w:r>
      <w:r w:rsidR="00CD2937">
        <w:rPr>
          <w:rFonts w:cstheme="minorHAnsi"/>
          <w:bCs/>
        </w:rPr>
        <w:t>) in</w:t>
      </w:r>
      <w:r w:rsidRPr="00DC6F45">
        <w:rPr>
          <w:rFonts w:cstheme="minorHAnsi"/>
          <w:bCs/>
        </w:rPr>
        <w:t xml:space="preserve"> the hypothermia group died</w:t>
      </w:r>
      <w:r>
        <w:rPr>
          <w:rFonts w:cstheme="minorHAnsi"/>
          <w:bCs/>
        </w:rPr>
        <w:t xml:space="preserve"> vs </w:t>
      </w:r>
      <w:r w:rsidR="00CD2937">
        <w:rPr>
          <w:rFonts w:cstheme="minorHAnsi"/>
          <w:bCs/>
        </w:rPr>
        <w:t>48% (</w:t>
      </w:r>
      <w:r w:rsidRPr="00DC6F45">
        <w:rPr>
          <w:rFonts w:cstheme="minorHAnsi"/>
          <w:bCs/>
        </w:rPr>
        <w:t>446</w:t>
      </w:r>
      <w:r w:rsidR="00CD2937">
        <w:rPr>
          <w:rFonts w:cstheme="minorHAnsi"/>
          <w:bCs/>
        </w:rPr>
        <w:t>/</w:t>
      </w:r>
      <w:r w:rsidRPr="00DC6F45">
        <w:rPr>
          <w:rFonts w:cstheme="minorHAnsi"/>
          <w:bCs/>
        </w:rPr>
        <w:t xml:space="preserve"> 925</w:t>
      </w:r>
      <w:r w:rsidR="00CD2937">
        <w:rPr>
          <w:rFonts w:cstheme="minorHAnsi"/>
          <w:bCs/>
        </w:rPr>
        <w:t>)</w:t>
      </w:r>
      <w:r w:rsidRPr="00DC6F45">
        <w:rPr>
          <w:rFonts w:cstheme="minorHAnsi"/>
          <w:bCs/>
        </w:rPr>
        <w:t xml:space="preserve"> in the normothermia group (</w:t>
      </w:r>
      <w:r>
        <w:rPr>
          <w:rFonts w:cstheme="minorHAnsi"/>
          <w:bCs/>
        </w:rPr>
        <w:t>RR</w:t>
      </w:r>
      <w:r w:rsidRPr="00DC6F45">
        <w:rPr>
          <w:rFonts w:cstheme="minorHAnsi"/>
          <w:bCs/>
        </w:rPr>
        <w:t xml:space="preserve"> </w:t>
      </w:r>
      <w:r w:rsidR="00A60CBB">
        <w:rPr>
          <w:rFonts w:cstheme="minorHAnsi"/>
          <w:bCs/>
        </w:rPr>
        <w:t>1</w:t>
      </w:r>
      <w:r w:rsidRPr="00DC6F45">
        <w:rPr>
          <w:rFonts w:cstheme="minorHAnsi"/>
          <w:bCs/>
        </w:rPr>
        <w:t xml:space="preserve">.04; 95% </w:t>
      </w:r>
      <w:r w:rsidR="00A60CBB">
        <w:rPr>
          <w:rFonts w:cstheme="minorHAnsi"/>
          <w:bCs/>
        </w:rPr>
        <w:t>CI</w:t>
      </w:r>
      <w:r w:rsidRPr="00DC6F45">
        <w:rPr>
          <w:rFonts w:cstheme="minorHAnsi"/>
          <w:bCs/>
        </w:rPr>
        <w:t xml:space="preserve"> 0.94 to 1.14; </w:t>
      </w:r>
      <w:r w:rsidR="00A60CBB">
        <w:rPr>
          <w:rFonts w:cstheme="minorHAnsi"/>
          <w:bCs/>
        </w:rPr>
        <w:t>ARR</w:t>
      </w:r>
      <w:r w:rsidRPr="00DC6F45">
        <w:rPr>
          <w:rFonts w:cstheme="minorHAnsi"/>
          <w:bCs/>
        </w:rPr>
        <w:t xml:space="preserve">). </w:t>
      </w:r>
    </w:p>
    <w:p w14:paraId="2B862D33" w14:textId="30C7C9E3" w:rsidR="00CD2937" w:rsidRDefault="00CD2937" w:rsidP="00CD2937">
      <w:pPr>
        <w:pStyle w:val="ListParagraph"/>
        <w:numPr>
          <w:ilvl w:val="0"/>
          <w:numId w:val="39"/>
        </w:numPr>
        <w:spacing w:after="0" w:line="240" w:lineRule="auto"/>
        <w:jc w:val="both"/>
        <w:rPr>
          <w:rFonts w:cstheme="minorHAnsi"/>
          <w:bCs/>
        </w:rPr>
      </w:pPr>
      <w:r>
        <w:rPr>
          <w:rFonts w:cstheme="minorHAnsi"/>
          <w:bCs/>
        </w:rPr>
        <w:t>F</w:t>
      </w:r>
      <w:r w:rsidR="00DC6F45" w:rsidRPr="00DC6F45">
        <w:rPr>
          <w:rFonts w:cstheme="minorHAnsi"/>
          <w:bCs/>
        </w:rPr>
        <w:t xml:space="preserve">unctional </w:t>
      </w:r>
      <w:r>
        <w:rPr>
          <w:rFonts w:cstheme="minorHAnsi"/>
          <w:bCs/>
        </w:rPr>
        <w:t xml:space="preserve">assessment was similar between groups with </w:t>
      </w:r>
      <w:r w:rsidR="008F1727">
        <w:rPr>
          <w:rFonts w:cstheme="minorHAnsi"/>
          <w:bCs/>
        </w:rPr>
        <w:t xml:space="preserve">a </w:t>
      </w:r>
      <w:r>
        <w:rPr>
          <w:rFonts w:cstheme="minorHAnsi"/>
          <w:bCs/>
        </w:rPr>
        <w:t xml:space="preserve">moderately severe disability scores of 55% in both the hypothermia and normothermia groups; RR </w:t>
      </w:r>
      <w:r w:rsidR="00DC6F45" w:rsidRPr="00DC6F45">
        <w:rPr>
          <w:rFonts w:cstheme="minorHAnsi"/>
          <w:bCs/>
        </w:rPr>
        <w:t xml:space="preserve">1.00; 95% CI, 0.92 to 1.09. </w:t>
      </w:r>
    </w:p>
    <w:p w14:paraId="012EA6B8" w14:textId="32CB3CA4" w:rsidR="00CD2937" w:rsidRDefault="00D87C18" w:rsidP="00CD2937">
      <w:pPr>
        <w:pStyle w:val="ListParagraph"/>
        <w:numPr>
          <w:ilvl w:val="0"/>
          <w:numId w:val="39"/>
        </w:numPr>
        <w:spacing w:after="0" w:line="240" w:lineRule="auto"/>
        <w:jc w:val="both"/>
        <w:rPr>
          <w:rFonts w:cstheme="minorHAnsi"/>
          <w:bCs/>
        </w:rPr>
      </w:pPr>
      <w:r w:rsidRPr="00DC6F45">
        <w:rPr>
          <w:rFonts w:cstheme="minorHAnsi"/>
          <w:bCs/>
        </w:rPr>
        <w:t xml:space="preserve">Arrhythmia </w:t>
      </w:r>
      <w:r>
        <w:rPr>
          <w:rFonts w:cstheme="minorHAnsi"/>
          <w:bCs/>
        </w:rPr>
        <w:t>was</w:t>
      </w:r>
      <w:r w:rsidR="00DC6F45" w:rsidRPr="00DC6F45">
        <w:rPr>
          <w:rFonts w:cstheme="minorHAnsi"/>
          <w:bCs/>
        </w:rPr>
        <w:t xml:space="preserve"> more common in the hypothermia group </w:t>
      </w:r>
      <w:r w:rsidR="00CD2937">
        <w:rPr>
          <w:rFonts w:cstheme="minorHAnsi"/>
          <w:bCs/>
        </w:rPr>
        <w:t>vs</w:t>
      </w:r>
      <w:r w:rsidR="00DC6F45" w:rsidRPr="00DC6F45">
        <w:rPr>
          <w:rFonts w:cstheme="minorHAnsi"/>
          <w:bCs/>
        </w:rPr>
        <w:t xml:space="preserve"> normothermia group (24% vs. 17%, </w:t>
      </w:r>
      <w:r w:rsidR="00CD2937">
        <w:rPr>
          <w:rFonts w:cstheme="minorHAnsi"/>
          <w:bCs/>
        </w:rPr>
        <w:t>p</w:t>
      </w:r>
      <w:r w:rsidR="00DC6F45" w:rsidRPr="00DC6F45">
        <w:rPr>
          <w:rFonts w:cstheme="minorHAnsi"/>
          <w:bCs/>
        </w:rPr>
        <w:t xml:space="preserve">&lt;0.001). </w:t>
      </w:r>
    </w:p>
    <w:p w14:paraId="7B51AABD" w14:textId="3EA4CC06" w:rsidR="000B1C4C" w:rsidRDefault="00CD2937" w:rsidP="00CD2937">
      <w:pPr>
        <w:pStyle w:val="ListParagraph"/>
        <w:numPr>
          <w:ilvl w:val="0"/>
          <w:numId w:val="39"/>
        </w:numPr>
        <w:spacing w:after="0" w:line="240" w:lineRule="auto"/>
        <w:jc w:val="both"/>
        <w:rPr>
          <w:rFonts w:cstheme="minorHAnsi"/>
          <w:bCs/>
        </w:rPr>
      </w:pPr>
      <w:r>
        <w:rPr>
          <w:rFonts w:cstheme="minorHAnsi"/>
          <w:bCs/>
        </w:rPr>
        <w:t>A</w:t>
      </w:r>
      <w:r w:rsidR="00DC6F45" w:rsidRPr="00DC6F45">
        <w:rPr>
          <w:rFonts w:cstheme="minorHAnsi"/>
          <w:bCs/>
        </w:rPr>
        <w:t>dverse events did not differ significantly between the two groups.</w:t>
      </w:r>
      <w:r w:rsidR="00DC6F45">
        <w:rPr>
          <w:rFonts w:cstheme="minorHAnsi"/>
          <w:bCs/>
        </w:rPr>
        <w:t xml:space="preserve"> </w:t>
      </w:r>
    </w:p>
    <w:p w14:paraId="47F21C61" w14:textId="06FEAF9D" w:rsidR="000B1C4C" w:rsidRDefault="000B1C4C" w:rsidP="009978C3">
      <w:pPr>
        <w:pStyle w:val="ListParagraph"/>
        <w:spacing w:after="0" w:line="240" w:lineRule="auto"/>
        <w:ind w:left="0"/>
        <w:jc w:val="both"/>
        <w:rPr>
          <w:rFonts w:cstheme="minorHAnsi"/>
          <w:bCs/>
        </w:rPr>
      </w:pPr>
    </w:p>
    <w:p w14:paraId="0708876B" w14:textId="5D686986" w:rsidR="00DC6F45" w:rsidRDefault="00DC6F45" w:rsidP="009978C3">
      <w:pPr>
        <w:pStyle w:val="ListParagraph"/>
        <w:spacing w:after="0" w:line="240" w:lineRule="auto"/>
        <w:ind w:left="0"/>
        <w:jc w:val="both"/>
        <w:rPr>
          <w:rFonts w:cstheme="minorHAnsi"/>
          <w:bCs/>
        </w:rPr>
      </w:pPr>
      <w:r>
        <w:rPr>
          <w:rFonts w:cstheme="minorHAnsi"/>
          <w:bCs/>
        </w:rPr>
        <w:t>Refer to the evidence summary below</w:t>
      </w:r>
      <w:r w:rsidR="00CD2937">
        <w:rPr>
          <w:rFonts w:cstheme="minorHAnsi"/>
          <w:bCs/>
        </w:rPr>
        <w:t xml:space="preserve"> for detailed</w:t>
      </w:r>
      <w:r w:rsidR="00D87C18">
        <w:rPr>
          <w:rFonts w:cstheme="minorHAnsi"/>
          <w:bCs/>
        </w:rPr>
        <w:t xml:space="preserve"> information</w:t>
      </w:r>
      <w:r>
        <w:rPr>
          <w:rFonts w:cstheme="minorHAnsi"/>
          <w:bCs/>
        </w:rPr>
        <w:t>:</w:t>
      </w:r>
    </w:p>
    <w:bookmarkStart w:id="4" w:name="_MON_1726723483"/>
    <w:bookmarkEnd w:id="4"/>
    <w:p w14:paraId="6A1B6AE8" w14:textId="767FE8B4" w:rsidR="00E84108" w:rsidRDefault="008F1727" w:rsidP="008F1727">
      <w:r>
        <w:object w:dxaOrig="1520" w:dyaOrig="985" w14:anchorId="240F48DD">
          <v:shape id="_x0000_i1027" type="#_x0000_t75" style="width:76.2pt;height:49.8pt" o:ole="">
            <v:imagedata r:id="rId16" o:title=""/>
          </v:shape>
          <o:OLEObject Type="Embed" ProgID="Word.Document.12" ShapeID="_x0000_i1027" DrawAspect="Icon" ObjectID="_1728018820" r:id="rId17">
            <o:FieldCodes>\s</o:FieldCodes>
          </o:OLEObject>
        </w:object>
      </w:r>
    </w:p>
    <w:p w14:paraId="3528192F" w14:textId="77777777" w:rsidR="008F1727" w:rsidRPr="008F1727" w:rsidRDefault="008F1727" w:rsidP="008F1727">
      <w:pPr>
        <w:pBdr>
          <w:top w:val="nil"/>
          <w:left w:val="nil"/>
          <w:bottom w:val="nil"/>
          <w:right w:val="nil"/>
          <w:between w:val="nil"/>
          <w:bar w:val="nil"/>
        </w:pBdr>
        <w:spacing w:after="0" w:line="240" w:lineRule="auto"/>
        <w:rPr>
          <w:rFonts w:cstheme="minorHAnsi"/>
          <w:b/>
          <w:bCs/>
          <w:sz w:val="28"/>
          <w:szCs w:val="28"/>
          <w:lang w:val="en-GB"/>
        </w:rPr>
      </w:pPr>
      <w:r w:rsidRPr="008F1727">
        <w:rPr>
          <w:rFonts w:eastAsia="Arial Unicode MS" w:cstheme="minorHAnsi"/>
          <w:b/>
          <w:bCs/>
          <w:color w:val="000000"/>
          <w:bdr w:val="nil"/>
          <w:lang w:val="en-GB" w:eastAsia="en-ZA"/>
        </w:rPr>
        <w:t>Hypovolaemia</w:t>
      </w:r>
    </w:p>
    <w:p w14:paraId="7395266A" w14:textId="77777777" w:rsidR="008F1727" w:rsidRDefault="008F1727" w:rsidP="008F1727">
      <w:pPr>
        <w:pStyle w:val="ListParagraph"/>
        <w:spacing w:after="0" w:line="240" w:lineRule="auto"/>
        <w:ind w:left="0"/>
        <w:jc w:val="both"/>
        <w:rPr>
          <w:i/>
          <w:iCs/>
          <w:lang w:val="en-GB"/>
        </w:rPr>
      </w:pPr>
      <w:r w:rsidRPr="00426F51">
        <w:rPr>
          <w:u w:val="single"/>
          <w:lang w:val="en-GB"/>
        </w:rPr>
        <w:t>Sodium chloride 0.9%</w:t>
      </w:r>
      <w:r>
        <w:rPr>
          <w:u w:val="single"/>
          <w:lang w:val="en-GB"/>
        </w:rPr>
        <w:t>, parenteral</w:t>
      </w:r>
      <w:r w:rsidRPr="00426F51">
        <w:rPr>
          <w:u w:val="single"/>
          <w:lang w:val="en-GB"/>
        </w:rPr>
        <w:t>:</w:t>
      </w:r>
      <w:r w:rsidRPr="00426F51">
        <w:rPr>
          <w:lang w:val="en-GB"/>
        </w:rPr>
        <w:t xml:space="preserve"> </w:t>
      </w:r>
      <w:r w:rsidRPr="00426F51">
        <w:rPr>
          <w:i/>
          <w:iCs/>
          <w:lang w:val="en-GB"/>
        </w:rPr>
        <w:t>amended – directions for use</w:t>
      </w:r>
      <w:r>
        <w:rPr>
          <w:i/>
          <w:iCs/>
          <w:lang w:val="en-GB"/>
        </w:rPr>
        <w:t xml:space="preserve"> added</w:t>
      </w:r>
    </w:p>
    <w:p w14:paraId="3A8FF0A8" w14:textId="7F4C90A7" w:rsidR="000B1C4C" w:rsidRDefault="008F1727" w:rsidP="009978C3">
      <w:pPr>
        <w:pStyle w:val="ListParagraph"/>
        <w:spacing w:after="0" w:line="240" w:lineRule="auto"/>
        <w:ind w:left="0"/>
        <w:jc w:val="both"/>
        <w:rPr>
          <w:rFonts w:cstheme="minorHAnsi"/>
          <w:bCs/>
        </w:rPr>
      </w:pPr>
      <w:r>
        <w:rPr>
          <w:rFonts w:cstheme="minorHAnsi"/>
          <w:bCs/>
        </w:rPr>
        <w:t>Aligned with section 20.1: Cardiac arrest in adults (see above)</w:t>
      </w:r>
    </w:p>
    <w:p w14:paraId="4237292D" w14:textId="18A5A1A2" w:rsidR="008F1727" w:rsidRDefault="008F1727" w:rsidP="009978C3">
      <w:pPr>
        <w:pStyle w:val="ListParagraph"/>
        <w:spacing w:after="0" w:line="240" w:lineRule="auto"/>
        <w:ind w:left="0"/>
        <w:jc w:val="both"/>
        <w:rPr>
          <w:rFonts w:cstheme="minorHAnsi"/>
          <w:bCs/>
        </w:rPr>
      </w:pPr>
    </w:p>
    <w:tbl>
      <w:tblPr>
        <w:tblW w:w="5000" w:type="pct"/>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ook w:val="00A0" w:firstRow="1" w:lastRow="0" w:firstColumn="1" w:lastColumn="0" w:noHBand="0" w:noVBand="0"/>
      </w:tblPr>
      <w:tblGrid>
        <w:gridCol w:w="10436"/>
      </w:tblGrid>
      <w:tr w:rsidR="00144B02" w:rsidRPr="00600007" w14:paraId="4539F35D" w14:textId="77777777" w:rsidTr="004450CB">
        <w:tc>
          <w:tcPr>
            <w:tcW w:w="5000" w:type="pct"/>
            <w:tcBorders>
              <w:top w:val="double" w:sz="4" w:space="0" w:color="C0C0C0"/>
              <w:left w:val="double" w:sz="4" w:space="0" w:color="C0C0C0"/>
              <w:bottom w:val="double" w:sz="4" w:space="0" w:color="C0C0C0"/>
              <w:right w:val="double" w:sz="4" w:space="0" w:color="C0C0C0"/>
            </w:tcBorders>
          </w:tcPr>
          <w:p w14:paraId="67FF38FB" w14:textId="7CB1E868" w:rsidR="00144B02" w:rsidRPr="00600007" w:rsidRDefault="00144B02" w:rsidP="004450CB">
            <w:pPr>
              <w:widowControl w:val="0"/>
              <w:autoSpaceDE w:val="0"/>
              <w:autoSpaceDN w:val="0"/>
              <w:adjustRightInd w:val="0"/>
              <w:spacing w:before="120" w:after="120" w:line="240" w:lineRule="auto"/>
              <w:rPr>
                <w:rFonts w:cs="Calibri"/>
                <w:b/>
                <w:lang w:val="en-GB"/>
              </w:rPr>
            </w:pPr>
            <w:r>
              <w:rPr>
                <w:rFonts w:cs="Calibri"/>
                <w:b/>
                <w:spacing w:val="-4"/>
                <w:szCs w:val="20"/>
                <w:lang w:val="en-GB"/>
              </w:rPr>
              <w:t xml:space="preserve">20.6 ANGIOEDEMA  </w:t>
            </w:r>
          </w:p>
        </w:tc>
      </w:tr>
    </w:tbl>
    <w:p w14:paraId="466BCE9C" w14:textId="4281A950" w:rsidR="00144B02" w:rsidRPr="00144B02" w:rsidRDefault="00144B02" w:rsidP="003F14C9">
      <w:pPr>
        <w:pStyle w:val="ListParagraph"/>
        <w:spacing w:after="0" w:line="240" w:lineRule="auto"/>
        <w:ind w:left="0"/>
        <w:jc w:val="both"/>
        <w:rPr>
          <w:rFonts w:cstheme="minorHAnsi"/>
          <w:bCs/>
        </w:rPr>
      </w:pPr>
      <w:r w:rsidRPr="003F14C9">
        <w:rPr>
          <w:rFonts w:cstheme="minorHAnsi"/>
          <w:bCs/>
          <w:u w:val="single"/>
        </w:rPr>
        <w:t>Hydrocortisone, IV</w:t>
      </w:r>
      <w:r>
        <w:rPr>
          <w:rFonts w:cstheme="minorHAnsi"/>
          <w:bCs/>
        </w:rPr>
        <w:t xml:space="preserve">: </w:t>
      </w:r>
      <w:r w:rsidRPr="003F14C9">
        <w:rPr>
          <w:rFonts w:cstheme="minorHAnsi"/>
          <w:bCs/>
          <w:i/>
          <w:iCs/>
        </w:rPr>
        <w:t>amended, directions for use</w:t>
      </w:r>
    </w:p>
    <w:p w14:paraId="30E20400" w14:textId="4B05A852" w:rsidR="00144B02" w:rsidRPr="00144B02" w:rsidRDefault="00144B02" w:rsidP="003F14C9">
      <w:pPr>
        <w:pStyle w:val="ListParagraph"/>
        <w:spacing w:after="0" w:line="240" w:lineRule="auto"/>
        <w:ind w:left="0"/>
        <w:jc w:val="both"/>
        <w:rPr>
          <w:rFonts w:cstheme="minorHAnsi"/>
          <w:bCs/>
        </w:rPr>
      </w:pPr>
      <w:r w:rsidRPr="003F14C9">
        <w:rPr>
          <w:rFonts w:cstheme="minorHAnsi"/>
          <w:bCs/>
          <w:u w:val="single"/>
        </w:rPr>
        <w:t>Promethazine, IV</w:t>
      </w:r>
      <w:r>
        <w:rPr>
          <w:rFonts w:cstheme="minorHAnsi"/>
          <w:bCs/>
        </w:rPr>
        <w:t xml:space="preserve">: </w:t>
      </w:r>
      <w:r w:rsidRPr="003F14C9">
        <w:rPr>
          <w:rFonts w:cstheme="minorHAnsi"/>
          <w:bCs/>
          <w:i/>
          <w:iCs/>
        </w:rPr>
        <w:t>amended, directions for use</w:t>
      </w:r>
    </w:p>
    <w:p w14:paraId="25367BE6" w14:textId="7F3B9CBF" w:rsidR="00C323C0" w:rsidRDefault="00144B02" w:rsidP="00144B02">
      <w:pPr>
        <w:pStyle w:val="ListParagraph"/>
        <w:spacing w:after="0" w:line="240" w:lineRule="auto"/>
        <w:ind w:left="0"/>
        <w:jc w:val="both"/>
        <w:rPr>
          <w:rFonts w:cstheme="minorHAnsi"/>
          <w:bCs/>
        </w:rPr>
      </w:pPr>
      <w:r w:rsidRPr="003F14C9">
        <w:rPr>
          <w:rFonts w:cstheme="minorHAnsi"/>
          <w:bCs/>
          <w:u w:val="single"/>
        </w:rPr>
        <w:t>Cetirizine, oral</w:t>
      </w:r>
      <w:r>
        <w:rPr>
          <w:rFonts w:cstheme="minorHAnsi"/>
          <w:bCs/>
        </w:rPr>
        <w:t xml:space="preserve">: </w:t>
      </w:r>
      <w:r w:rsidR="00DF0470">
        <w:rPr>
          <w:rFonts w:cstheme="minorHAnsi"/>
          <w:bCs/>
          <w:i/>
          <w:iCs/>
        </w:rPr>
        <w:t>deleted</w:t>
      </w:r>
    </w:p>
    <w:p w14:paraId="768D69EE" w14:textId="0DA2D8C0" w:rsidR="00C323C0" w:rsidRDefault="00C323C0" w:rsidP="009978C3">
      <w:pPr>
        <w:pStyle w:val="ListParagraph"/>
        <w:spacing w:after="0" w:line="240" w:lineRule="auto"/>
        <w:ind w:left="0"/>
        <w:jc w:val="both"/>
        <w:rPr>
          <w:rFonts w:cstheme="minorHAnsi"/>
          <w:bCs/>
        </w:rPr>
      </w:pPr>
    </w:p>
    <w:p w14:paraId="2A4AB5B0" w14:textId="4F4F45E6" w:rsidR="00144B02" w:rsidRDefault="00144B02" w:rsidP="009978C3">
      <w:pPr>
        <w:pStyle w:val="ListParagraph"/>
        <w:spacing w:after="0" w:line="240" w:lineRule="auto"/>
        <w:ind w:left="0"/>
        <w:jc w:val="both"/>
        <w:rPr>
          <w:rStyle w:val="cf01"/>
          <w:rFonts w:asciiTheme="minorHAnsi" w:hAnsiTheme="minorHAnsi" w:cstheme="minorHAnsi"/>
          <w:b w:val="0"/>
          <w:bCs w:val="0"/>
          <w:sz w:val="22"/>
          <w:szCs w:val="22"/>
        </w:rPr>
      </w:pPr>
      <w:r>
        <w:rPr>
          <w:rStyle w:val="cf01"/>
          <w:rFonts w:asciiTheme="minorHAnsi" w:hAnsiTheme="minorHAnsi" w:cstheme="minorHAnsi"/>
          <w:b w:val="0"/>
          <w:bCs w:val="0"/>
          <w:sz w:val="22"/>
          <w:szCs w:val="22"/>
        </w:rPr>
        <w:t>As g</w:t>
      </w:r>
      <w:r w:rsidR="00C323C0" w:rsidRPr="003F14C9">
        <w:rPr>
          <w:rStyle w:val="cf01"/>
          <w:rFonts w:asciiTheme="minorHAnsi" w:hAnsiTheme="minorHAnsi" w:cstheme="minorHAnsi"/>
          <w:b w:val="0"/>
          <w:bCs w:val="0"/>
          <w:sz w:val="22"/>
          <w:szCs w:val="22"/>
        </w:rPr>
        <w:t xml:space="preserve">lucocorticoids have no proven role in the </w:t>
      </w:r>
      <w:r w:rsidRPr="003F14C9">
        <w:rPr>
          <w:rStyle w:val="cf01"/>
          <w:rFonts w:asciiTheme="minorHAnsi" w:hAnsiTheme="minorHAnsi" w:cstheme="minorHAnsi"/>
          <w:b w:val="0"/>
          <w:bCs w:val="0"/>
          <w:sz w:val="22"/>
          <w:szCs w:val="22"/>
        </w:rPr>
        <w:t xml:space="preserve">treatment </w:t>
      </w:r>
      <w:r>
        <w:rPr>
          <w:rStyle w:val="cf01"/>
          <w:rFonts w:asciiTheme="minorHAnsi" w:hAnsiTheme="minorHAnsi" w:cstheme="minorHAnsi"/>
          <w:b w:val="0"/>
          <w:bCs w:val="0"/>
          <w:sz w:val="22"/>
          <w:szCs w:val="22"/>
        </w:rPr>
        <w:t>o</w:t>
      </w:r>
      <w:r w:rsidR="00C323C0" w:rsidRPr="003F14C9">
        <w:rPr>
          <w:rStyle w:val="cf01"/>
          <w:rFonts w:asciiTheme="minorHAnsi" w:hAnsiTheme="minorHAnsi" w:cstheme="minorHAnsi"/>
          <w:b w:val="0"/>
          <w:bCs w:val="0"/>
          <w:sz w:val="22"/>
          <w:szCs w:val="22"/>
        </w:rPr>
        <w:t xml:space="preserve">f acute </w:t>
      </w:r>
      <w:r>
        <w:rPr>
          <w:rStyle w:val="cf01"/>
          <w:rFonts w:asciiTheme="minorHAnsi" w:hAnsiTheme="minorHAnsi" w:cstheme="minorHAnsi"/>
          <w:b w:val="0"/>
          <w:bCs w:val="0"/>
          <w:sz w:val="22"/>
          <w:szCs w:val="22"/>
        </w:rPr>
        <w:t>angioedema, the STG was amended as follows, aligned with guidelines: A</w:t>
      </w:r>
      <w:r w:rsidRPr="00144B02">
        <w:rPr>
          <w:rStyle w:val="cf01"/>
          <w:rFonts w:asciiTheme="minorHAnsi" w:hAnsiTheme="minorHAnsi" w:cstheme="minorHAnsi"/>
          <w:b w:val="0"/>
          <w:bCs w:val="0"/>
          <w:sz w:val="22"/>
          <w:szCs w:val="22"/>
        </w:rPr>
        <w:t>naphylaxis</w:t>
      </w:r>
      <w:r>
        <w:rPr>
          <w:rStyle w:val="cf01"/>
          <w:rFonts w:asciiTheme="minorHAnsi" w:hAnsiTheme="minorHAnsi" w:cstheme="minorHAnsi"/>
          <w:b w:val="0"/>
          <w:bCs w:val="0"/>
          <w:sz w:val="22"/>
          <w:szCs w:val="22"/>
        </w:rPr>
        <w:t xml:space="preserve"> </w:t>
      </w:r>
      <w:r w:rsidRPr="00144B02">
        <w:rPr>
          <w:rStyle w:val="cf01"/>
          <w:rFonts w:asciiTheme="minorHAnsi" w:hAnsiTheme="minorHAnsi" w:cstheme="minorHAnsi"/>
          <w:b w:val="0"/>
          <w:bCs w:val="0"/>
          <w:sz w:val="22"/>
          <w:szCs w:val="22"/>
        </w:rPr>
        <w:t>-</w:t>
      </w:r>
      <w:r>
        <w:rPr>
          <w:rStyle w:val="cf01"/>
          <w:rFonts w:asciiTheme="minorHAnsi" w:hAnsiTheme="minorHAnsi" w:cstheme="minorHAnsi"/>
          <w:b w:val="0"/>
          <w:bCs w:val="0"/>
          <w:sz w:val="22"/>
          <w:szCs w:val="22"/>
        </w:rPr>
        <w:t xml:space="preserve"> </w:t>
      </w:r>
      <w:r w:rsidRPr="00144B02">
        <w:rPr>
          <w:rStyle w:val="cf01"/>
          <w:rFonts w:asciiTheme="minorHAnsi" w:hAnsiTheme="minorHAnsi" w:cstheme="minorHAnsi"/>
          <w:b w:val="0"/>
          <w:bCs w:val="0"/>
          <w:sz w:val="22"/>
          <w:szCs w:val="22"/>
        </w:rPr>
        <w:t>a 2020 practice parameter update, systematic review, and Grading of Recommendations, Assessment, Development and Evaluation (GRADE) analysis. J Allergy Clin Immunol</w:t>
      </w:r>
      <w:r>
        <w:rPr>
          <w:rStyle w:val="cf01"/>
          <w:rFonts w:asciiTheme="minorHAnsi" w:hAnsiTheme="minorHAnsi" w:cstheme="minorHAnsi"/>
          <w:b w:val="0"/>
          <w:bCs w:val="0"/>
          <w:sz w:val="22"/>
          <w:szCs w:val="22"/>
        </w:rPr>
        <w:t>. The guidelines were assessed to be of good quality with an AGREE 2 score of 83%.</w:t>
      </w:r>
    </w:p>
    <w:tbl>
      <w:tblPr>
        <w:tblStyle w:val="TableGrid"/>
        <w:tblW w:w="0" w:type="auto"/>
        <w:tblLook w:val="04A0" w:firstRow="1" w:lastRow="0" w:firstColumn="1" w:lastColumn="0" w:noHBand="0" w:noVBand="1"/>
      </w:tblPr>
      <w:tblGrid>
        <w:gridCol w:w="10456"/>
      </w:tblGrid>
      <w:tr w:rsidR="00144B02" w:rsidRPr="003F14C9" w14:paraId="424D8FE1" w14:textId="77777777" w:rsidTr="00094B0E">
        <w:trPr>
          <w:trHeight w:val="2462"/>
        </w:trPr>
        <w:tc>
          <w:tcPr>
            <w:tcW w:w="10456" w:type="dxa"/>
          </w:tcPr>
          <w:p w14:paraId="35808B31" w14:textId="77777777" w:rsidR="00144B02" w:rsidRPr="003F14C9" w:rsidRDefault="00144B02" w:rsidP="00144B02">
            <w:pPr>
              <w:autoSpaceDE w:val="0"/>
              <w:autoSpaceDN w:val="0"/>
              <w:adjustRightInd w:val="0"/>
              <w:rPr>
                <w:rFonts w:cstheme="minorHAnsi"/>
                <w:sz w:val="18"/>
                <w:szCs w:val="18"/>
                <w:u w:val="single"/>
                <w:lang w:val="en-GB" w:eastAsia="en-ZA"/>
              </w:rPr>
            </w:pPr>
            <w:r w:rsidRPr="003F14C9">
              <w:rPr>
                <w:rFonts w:cstheme="minorHAnsi"/>
                <w:sz w:val="18"/>
                <w:szCs w:val="18"/>
                <w:u w:val="single"/>
                <w:lang w:val="en-GB" w:eastAsia="en-ZA"/>
              </w:rPr>
              <w:t>If urticaria and/or itch present (no imminent airway compromise):</w:t>
            </w:r>
          </w:p>
          <w:p w14:paraId="01051650" w14:textId="77777777" w:rsidR="00144B02" w:rsidRPr="003F14C9" w:rsidRDefault="00144B02" w:rsidP="00144B02">
            <w:pPr>
              <w:numPr>
                <w:ilvl w:val="0"/>
                <w:numId w:val="41"/>
              </w:numPr>
              <w:autoSpaceDE w:val="0"/>
              <w:autoSpaceDN w:val="0"/>
              <w:adjustRightInd w:val="0"/>
              <w:ind w:left="284" w:hanging="284"/>
              <w:rPr>
                <w:rFonts w:cstheme="minorHAnsi"/>
                <w:strike/>
                <w:sz w:val="18"/>
                <w:szCs w:val="18"/>
                <w:u w:val="single"/>
                <w:lang w:val="en-GB" w:eastAsia="en-ZA"/>
              </w:rPr>
            </w:pPr>
            <w:r w:rsidRPr="003F14C9">
              <w:rPr>
                <w:rFonts w:cstheme="minorHAnsi"/>
                <w:strike/>
                <w:sz w:val="18"/>
                <w:szCs w:val="18"/>
                <w:lang w:val="en-GB" w:eastAsia="en-ZA"/>
              </w:rPr>
              <w:t xml:space="preserve">Hydrocortisone, IV, 100 mg as a single dose. </w:t>
            </w:r>
          </w:p>
          <w:p w14:paraId="3B35B26F" w14:textId="77777777" w:rsidR="00144B02" w:rsidRPr="003F14C9" w:rsidRDefault="00144B02" w:rsidP="00144B02">
            <w:pPr>
              <w:tabs>
                <w:tab w:val="left" w:pos="0"/>
              </w:tabs>
              <w:autoSpaceDE w:val="0"/>
              <w:autoSpaceDN w:val="0"/>
              <w:adjustRightInd w:val="0"/>
              <w:rPr>
                <w:rFonts w:cstheme="minorHAnsi"/>
                <w:b/>
                <w:strike/>
                <w:sz w:val="18"/>
                <w:szCs w:val="18"/>
                <w:lang w:val="en-GB" w:eastAsia="en-ZA"/>
              </w:rPr>
            </w:pPr>
            <w:r w:rsidRPr="003F14C9">
              <w:rPr>
                <w:rFonts w:cstheme="minorHAnsi"/>
                <w:b/>
                <w:strike/>
                <w:sz w:val="18"/>
                <w:szCs w:val="18"/>
                <w:lang w:val="en-GB" w:eastAsia="en-ZA"/>
              </w:rPr>
              <w:t>AND</w:t>
            </w:r>
          </w:p>
          <w:p w14:paraId="160B2F15" w14:textId="77777777" w:rsidR="00144B02" w:rsidRPr="003F14C9" w:rsidRDefault="00144B02" w:rsidP="00144B02">
            <w:pPr>
              <w:tabs>
                <w:tab w:val="left" w:pos="284"/>
              </w:tabs>
              <w:autoSpaceDE w:val="0"/>
              <w:autoSpaceDN w:val="0"/>
              <w:adjustRightInd w:val="0"/>
              <w:rPr>
                <w:rFonts w:cstheme="minorHAnsi"/>
                <w:strike/>
                <w:sz w:val="18"/>
                <w:szCs w:val="18"/>
                <w:u w:val="single"/>
                <w:lang w:val="en-GB" w:eastAsia="en-ZA"/>
              </w:rPr>
            </w:pPr>
            <w:r w:rsidRPr="003F14C9">
              <w:rPr>
                <w:rFonts w:cstheme="minorHAnsi"/>
                <w:strike/>
                <w:sz w:val="18"/>
                <w:szCs w:val="18"/>
                <w:lang w:val="en-GB" w:eastAsia="en-ZA"/>
              </w:rPr>
              <w:tab/>
              <w:t>Promethazine, IV, 25–50 mg as a single dose.</w:t>
            </w:r>
          </w:p>
          <w:p w14:paraId="736968EB" w14:textId="57A488C3" w:rsidR="00144B02" w:rsidRPr="003F14C9" w:rsidRDefault="00144B02" w:rsidP="003F14C9">
            <w:pPr>
              <w:autoSpaceDE w:val="0"/>
              <w:autoSpaceDN w:val="0"/>
              <w:adjustRightInd w:val="0"/>
              <w:rPr>
                <w:rFonts w:cstheme="minorHAnsi"/>
                <w:strike/>
                <w:sz w:val="18"/>
                <w:szCs w:val="18"/>
                <w:lang w:val="en-GB" w:eastAsia="en-ZA"/>
              </w:rPr>
            </w:pPr>
            <w:r w:rsidRPr="003F14C9">
              <w:rPr>
                <w:rFonts w:cstheme="minorHAnsi"/>
                <w:b/>
                <w:strike/>
                <w:sz w:val="18"/>
                <w:szCs w:val="18"/>
                <w:lang w:val="en-GB" w:eastAsia="en-ZA"/>
              </w:rPr>
              <w:t>OR</w:t>
            </w:r>
          </w:p>
          <w:p w14:paraId="2DEAF336" w14:textId="77777777" w:rsidR="00144B02" w:rsidRPr="003F14C9" w:rsidRDefault="00144B02" w:rsidP="00144B02">
            <w:pPr>
              <w:numPr>
                <w:ilvl w:val="0"/>
                <w:numId w:val="41"/>
              </w:numPr>
              <w:autoSpaceDE w:val="0"/>
              <w:autoSpaceDN w:val="0"/>
              <w:adjustRightInd w:val="0"/>
              <w:ind w:left="284" w:hanging="284"/>
              <w:rPr>
                <w:rFonts w:cstheme="minorHAnsi"/>
                <w:strike/>
                <w:sz w:val="18"/>
                <w:szCs w:val="18"/>
                <w:lang w:val="en-GB" w:eastAsia="en-ZA"/>
              </w:rPr>
            </w:pPr>
            <w:r w:rsidRPr="003F14C9">
              <w:rPr>
                <w:rFonts w:cstheme="minorHAnsi"/>
                <w:strike/>
                <w:sz w:val="18"/>
                <w:szCs w:val="18"/>
                <w:lang w:val="en-GB" w:eastAsia="en-ZA"/>
              </w:rPr>
              <w:t>Cetirizine, oral, 10 mg as a single dose.</w:t>
            </w:r>
          </w:p>
          <w:p w14:paraId="0C0640C5" w14:textId="77777777" w:rsidR="00144B02" w:rsidRPr="003F14C9" w:rsidRDefault="00144B02" w:rsidP="009978C3">
            <w:pPr>
              <w:pStyle w:val="ListParagraph"/>
              <w:ind w:left="0"/>
              <w:jc w:val="both"/>
              <w:rPr>
                <w:rStyle w:val="cf01"/>
                <w:rFonts w:asciiTheme="minorHAnsi" w:hAnsiTheme="minorHAnsi" w:cstheme="minorHAnsi"/>
                <w:b w:val="0"/>
                <w:bCs w:val="0"/>
              </w:rPr>
            </w:pPr>
          </w:p>
          <w:p w14:paraId="59933805" w14:textId="2CF94CF0" w:rsidR="00144B02" w:rsidRPr="00094B0E" w:rsidRDefault="00144B02" w:rsidP="00DF0470">
            <w:pPr>
              <w:numPr>
                <w:ilvl w:val="0"/>
                <w:numId w:val="41"/>
              </w:numPr>
              <w:autoSpaceDE w:val="0"/>
              <w:autoSpaceDN w:val="0"/>
              <w:adjustRightInd w:val="0"/>
              <w:ind w:left="284" w:hanging="284"/>
              <w:rPr>
                <w:rFonts w:cstheme="minorHAnsi"/>
                <w:sz w:val="18"/>
                <w:szCs w:val="18"/>
                <w:u w:val="single"/>
                <w:lang w:val="en-GB" w:eastAsia="en-ZA"/>
              </w:rPr>
            </w:pPr>
            <w:r w:rsidRPr="00094B0E">
              <w:rPr>
                <w:rFonts w:cstheme="minorHAnsi"/>
                <w:sz w:val="18"/>
                <w:szCs w:val="18"/>
                <w:highlight w:val="yellow"/>
                <w:u w:val="single"/>
                <w:lang w:val="en-GB" w:eastAsia="en-ZA"/>
              </w:rPr>
              <w:t xml:space="preserve">Promethazine, </w:t>
            </w:r>
            <w:r w:rsidR="006D2025" w:rsidRPr="00094B0E">
              <w:rPr>
                <w:rFonts w:cstheme="minorHAnsi"/>
                <w:sz w:val="18"/>
                <w:szCs w:val="18"/>
                <w:highlight w:val="yellow"/>
                <w:u w:val="single"/>
                <w:lang w:val="en-GB" w:eastAsia="en-ZA"/>
              </w:rPr>
              <w:t>IM/</w:t>
            </w:r>
            <w:r w:rsidRPr="00094B0E">
              <w:rPr>
                <w:rFonts w:cstheme="minorHAnsi"/>
                <w:sz w:val="18"/>
                <w:szCs w:val="18"/>
                <w:highlight w:val="yellow"/>
                <w:u w:val="single"/>
                <w:lang w:val="en-GB" w:eastAsia="en-ZA"/>
              </w:rPr>
              <w:t>IV, 25–50 mg as a single dose.</w:t>
            </w:r>
          </w:p>
          <w:p w14:paraId="6772FC95" w14:textId="77777777" w:rsidR="006D2025" w:rsidRPr="00DF0470" w:rsidRDefault="006D2025" w:rsidP="00144B02">
            <w:pPr>
              <w:tabs>
                <w:tab w:val="left" w:pos="284"/>
              </w:tabs>
              <w:autoSpaceDE w:val="0"/>
              <w:autoSpaceDN w:val="0"/>
              <w:adjustRightInd w:val="0"/>
              <w:rPr>
                <w:rFonts w:cstheme="minorHAnsi"/>
                <w:sz w:val="18"/>
                <w:szCs w:val="18"/>
                <w:u w:val="single"/>
                <w:lang w:val="en-GB" w:eastAsia="en-ZA"/>
              </w:rPr>
            </w:pPr>
          </w:p>
          <w:p w14:paraId="4E3EB960" w14:textId="05A21668" w:rsidR="00144B02" w:rsidRPr="00094B0E" w:rsidRDefault="006D2025" w:rsidP="003F14C9">
            <w:pPr>
              <w:autoSpaceDE w:val="0"/>
              <w:autoSpaceDN w:val="0"/>
              <w:adjustRightInd w:val="0"/>
              <w:rPr>
                <w:rFonts w:cstheme="minorHAnsi"/>
                <w:sz w:val="18"/>
                <w:szCs w:val="18"/>
                <w:highlight w:val="yellow"/>
                <w:u w:val="single"/>
                <w:lang w:val="en-GB" w:eastAsia="en-ZA"/>
              </w:rPr>
            </w:pPr>
            <w:r w:rsidRPr="00094B0E">
              <w:rPr>
                <w:rFonts w:cstheme="minorHAnsi"/>
                <w:b/>
                <w:sz w:val="18"/>
                <w:szCs w:val="18"/>
                <w:highlight w:val="yellow"/>
                <w:u w:val="single"/>
                <w:lang w:val="en-GB" w:eastAsia="en-ZA"/>
              </w:rPr>
              <w:t>ADD</w:t>
            </w:r>
          </w:p>
          <w:p w14:paraId="675851F8" w14:textId="02C7E4D3" w:rsidR="00144B02" w:rsidRPr="003F14C9" w:rsidRDefault="00144B02" w:rsidP="003F14C9">
            <w:pPr>
              <w:numPr>
                <w:ilvl w:val="0"/>
                <w:numId w:val="41"/>
              </w:numPr>
              <w:autoSpaceDE w:val="0"/>
              <w:autoSpaceDN w:val="0"/>
              <w:adjustRightInd w:val="0"/>
              <w:ind w:left="284" w:hanging="284"/>
              <w:rPr>
                <w:rStyle w:val="cf01"/>
                <w:rFonts w:ascii="Arial" w:hAnsi="Arial" w:cs="Arial"/>
                <w:b w:val="0"/>
                <w:bCs w:val="0"/>
                <w:lang w:val="en-GB" w:eastAsia="en-ZA"/>
              </w:rPr>
            </w:pPr>
            <w:r w:rsidRPr="00094B0E">
              <w:rPr>
                <w:rFonts w:cstheme="minorHAnsi"/>
                <w:sz w:val="18"/>
                <w:szCs w:val="18"/>
                <w:highlight w:val="yellow"/>
                <w:u w:val="single"/>
                <w:lang w:val="en-GB" w:eastAsia="en-ZA"/>
              </w:rPr>
              <w:t>Hydrocortisone, IV, 100 mg as a single dose.</w:t>
            </w:r>
          </w:p>
        </w:tc>
      </w:tr>
    </w:tbl>
    <w:p w14:paraId="4E779C7B" w14:textId="54C2D20C" w:rsidR="00144B02" w:rsidRPr="003F14C9" w:rsidRDefault="00144B02" w:rsidP="009978C3">
      <w:pPr>
        <w:pStyle w:val="ListParagraph"/>
        <w:spacing w:after="0" w:line="240" w:lineRule="auto"/>
        <w:ind w:left="0"/>
        <w:jc w:val="both"/>
        <w:rPr>
          <w:rStyle w:val="cf01"/>
          <w:rFonts w:asciiTheme="minorHAnsi" w:hAnsiTheme="minorHAnsi" w:cstheme="minorHAnsi"/>
          <w:sz w:val="22"/>
          <w:szCs w:val="22"/>
        </w:rPr>
      </w:pPr>
      <w:r w:rsidRPr="003F14C9">
        <w:rPr>
          <w:rStyle w:val="cf01"/>
          <w:rFonts w:asciiTheme="minorHAnsi" w:hAnsiTheme="minorHAnsi" w:cstheme="minorHAnsi"/>
          <w:sz w:val="22"/>
          <w:szCs w:val="22"/>
        </w:rPr>
        <w:t>Level of Evidence: Low certainty</w:t>
      </w:r>
    </w:p>
    <w:p w14:paraId="08DDEF98" w14:textId="77777777" w:rsidR="00CE5547" w:rsidRDefault="00CE5547" w:rsidP="009978C3">
      <w:pPr>
        <w:pStyle w:val="ListParagraph"/>
        <w:spacing w:after="0" w:line="240" w:lineRule="auto"/>
        <w:ind w:left="0"/>
        <w:jc w:val="both"/>
        <w:rPr>
          <w:rStyle w:val="cf01"/>
          <w:rFonts w:asciiTheme="minorHAnsi" w:hAnsiTheme="minorHAnsi" w:cstheme="minorHAnsi"/>
          <w:b w:val="0"/>
          <w:bCs w:val="0"/>
          <w:sz w:val="22"/>
          <w:szCs w:val="22"/>
        </w:rPr>
      </w:pPr>
    </w:p>
    <w:p w14:paraId="4C9BF5D9" w14:textId="37426308" w:rsidR="00C323C0" w:rsidRDefault="00144B02" w:rsidP="009978C3">
      <w:pPr>
        <w:pStyle w:val="ListParagraph"/>
        <w:spacing w:after="0" w:line="240" w:lineRule="auto"/>
        <w:ind w:left="0"/>
        <w:jc w:val="both"/>
        <w:rPr>
          <w:rStyle w:val="cf01"/>
          <w:rFonts w:asciiTheme="minorHAnsi" w:hAnsiTheme="minorHAnsi" w:cstheme="minorHAnsi"/>
          <w:b w:val="0"/>
          <w:bCs w:val="0"/>
          <w:sz w:val="22"/>
          <w:szCs w:val="22"/>
        </w:rPr>
      </w:pPr>
      <w:r>
        <w:rPr>
          <w:rStyle w:val="cf01"/>
          <w:rFonts w:asciiTheme="minorHAnsi" w:hAnsiTheme="minorHAnsi" w:cstheme="minorHAnsi"/>
          <w:b w:val="0"/>
          <w:bCs w:val="0"/>
          <w:sz w:val="22"/>
          <w:szCs w:val="22"/>
        </w:rPr>
        <w:t>Glucocorticosteroids have a sl</w:t>
      </w:r>
      <w:r w:rsidR="00C323C0" w:rsidRPr="003F14C9">
        <w:rPr>
          <w:rStyle w:val="cf01"/>
          <w:rFonts w:asciiTheme="minorHAnsi" w:hAnsiTheme="minorHAnsi" w:cstheme="minorHAnsi"/>
          <w:b w:val="0"/>
          <w:bCs w:val="0"/>
          <w:sz w:val="22"/>
          <w:szCs w:val="22"/>
        </w:rPr>
        <w:t>ow onset of action binding to the glucocorticoid receptor on cell membranes,</w:t>
      </w:r>
      <w:r w:rsidRPr="003F14C9">
        <w:rPr>
          <w:rStyle w:val="cf01"/>
          <w:rFonts w:asciiTheme="minorHAnsi" w:hAnsiTheme="minorHAnsi" w:cstheme="minorHAnsi"/>
          <w:b w:val="0"/>
          <w:bCs w:val="0"/>
          <w:sz w:val="22"/>
          <w:szCs w:val="22"/>
        </w:rPr>
        <w:t xml:space="preserve"> </w:t>
      </w:r>
      <w:r w:rsidR="00C323C0" w:rsidRPr="003F14C9">
        <w:rPr>
          <w:rStyle w:val="cf01"/>
          <w:rFonts w:asciiTheme="minorHAnsi" w:hAnsiTheme="minorHAnsi" w:cstheme="minorHAnsi"/>
          <w:b w:val="0"/>
          <w:bCs w:val="0"/>
          <w:sz w:val="22"/>
          <w:szCs w:val="22"/>
        </w:rPr>
        <w:t>translocating the glucocorticoid/glucocorticoid receptor complex</w:t>
      </w:r>
      <w:r>
        <w:rPr>
          <w:rStyle w:val="cf01"/>
          <w:rFonts w:asciiTheme="minorHAnsi" w:hAnsiTheme="minorHAnsi" w:cstheme="minorHAnsi"/>
          <w:b w:val="0"/>
          <w:bCs w:val="0"/>
          <w:sz w:val="22"/>
          <w:szCs w:val="22"/>
        </w:rPr>
        <w:t xml:space="preserve"> </w:t>
      </w:r>
      <w:r w:rsidR="00C323C0" w:rsidRPr="003F14C9">
        <w:rPr>
          <w:rStyle w:val="cf01"/>
          <w:rFonts w:asciiTheme="minorHAnsi" w:hAnsiTheme="minorHAnsi" w:cstheme="minorHAnsi"/>
          <w:b w:val="0"/>
          <w:bCs w:val="0"/>
          <w:sz w:val="22"/>
          <w:szCs w:val="22"/>
        </w:rPr>
        <w:t xml:space="preserve">to the nucleus, and </w:t>
      </w:r>
      <w:r>
        <w:rPr>
          <w:rStyle w:val="cf01"/>
          <w:rFonts w:asciiTheme="minorHAnsi" w:hAnsiTheme="minorHAnsi" w:cstheme="minorHAnsi"/>
          <w:b w:val="0"/>
          <w:bCs w:val="0"/>
          <w:sz w:val="22"/>
          <w:szCs w:val="22"/>
        </w:rPr>
        <w:t xml:space="preserve">then </w:t>
      </w:r>
      <w:r w:rsidR="00C323C0" w:rsidRPr="003F14C9">
        <w:rPr>
          <w:rStyle w:val="cf01"/>
          <w:rFonts w:asciiTheme="minorHAnsi" w:hAnsiTheme="minorHAnsi" w:cstheme="minorHAnsi"/>
          <w:b w:val="0"/>
          <w:bCs w:val="0"/>
          <w:sz w:val="22"/>
          <w:szCs w:val="22"/>
        </w:rPr>
        <w:t>inhibit gene expression and production of</w:t>
      </w:r>
      <w:r>
        <w:rPr>
          <w:rStyle w:val="cf01"/>
          <w:rFonts w:asciiTheme="minorHAnsi" w:hAnsiTheme="minorHAnsi" w:cstheme="minorHAnsi"/>
          <w:b w:val="0"/>
          <w:bCs w:val="0"/>
          <w:sz w:val="22"/>
          <w:szCs w:val="22"/>
        </w:rPr>
        <w:t xml:space="preserve"> </w:t>
      </w:r>
      <w:r w:rsidR="00C323C0" w:rsidRPr="003F14C9">
        <w:rPr>
          <w:rStyle w:val="cf01"/>
          <w:rFonts w:asciiTheme="minorHAnsi" w:hAnsiTheme="minorHAnsi" w:cstheme="minorHAnsi"/>
          <w:b w:val="0"/>
          <w:bCs w:val="0"/>
          <w:sz w:val="22"/>
          <w:szCs w:val="22"/>
        </w:rPr>
        <w:t>new inflammatory mediators. They are nonselective</w:t>
      </w:r>
      <w:r>
        <w:rPr>
          <w:rStyle w:val="cf01"/>
          <w:rFonts w:asciiTheme="minorHAnsi" w:hAnsiTheme="minorHAnsi" w:cstheme="minorHAnsi"/>
          <w:b w:val="0"/>
          <w:bCs w:val="0"/>
          <w:sz w:val="22"/>
          <w:szCs w:val="22"/>
        </w:rPr>
        <w:t xml:space="preserve"> and </w:t>
      </w:r>
      <w:r w:rsidR="00C323C0" w:rsidRPr="003F14C9">
        <w:rPr>
          <w:rStyle w:val="cf01"/>
          <w:rFonts w:asciiTheme="minorHAnsi" w:hAnsiTheme="minorHAnsi" w:cstheme="minorHAnsi"/>
          <w:b w:val="0"/>
          <w:bCs w:val="0"/>
          <w:sz w:val="22"/>
          <w:szCs w:val="22"/>
        </w:rPr>
        <w:t>ineffective</w:t>
      </w:r>
      <w:r>
        <w:rPr>
          <w:rStyle w:val="cf01"/>
          <w:rFonts w:asciiTheme="minorHAnsi" w:hAnsiTheme="minorHAnsi" w:cstheme="minorHAnsi"/>
          <w:b w:val="0"/>
          <w:bCs w:val="0"/>
          <w:sz w:val="22"/>
          <w:szCs w:val="22"/>
        </w:rPr>
        <w:t xml:space="preserve"> </w:t>
      </w:r>
      <w:r w:rsidR="00C323C0" w:rsidRPr="003F14C9">
        <w:rPr>
          <w:rStyle w:val="cf01"/>
          <w:rFonts w:asciiTheme="minorHAnsi" w:hAnsiTheme="minorHAnsi" w:cstheme="minorHAnsi"/>
          <w:b w:val="0"/>
          <w:bCs w:val="0"/>
          <w:sz w:val="22"/>
          <w:szCs w:val="22"/>
        </w:rPr>
        <w:t xml:space="preserve">in treating acute </w:t>
      </w:r>
      <w:r w:rsidRPr="00144B02">
        <w:rPr>
          <w:rStyle w:val="cf01"/>
          <w:rFonts w:asciiTheme="minorHAnsi" w:hAnsiTheme="minorHAnsi" w:cstheme="minorHAnsi"/>
          <w:b w:val="0"/>
          <w:bCs w:val="0"/>
          <w:sz w:val="22"/>
          <w:szCs w:val="22"/>
        </w:rPr>
        <w:t>symptoms and</w:t>
      </w:r>
      <w:r>
        <w:rPr>
          <w:rStyle w:val="cf01"/>
          <w:rFonts w:asciiTheme="minorHAnsi" w:hAnsiTheme="minorHAnsi" w:cstheme="minorHAnsi"/>
          <w:b w:val="0"/>
          <w:bCs w:val="0"/>
          <w:sz w:val="22"/>
          <w:szCs w:val="22"/>
        </w:rPr>
        <w:t xml:space="preserve"> are associated with </w:t>
      </w:r>
      <w:r w:rsidR="00C323C0" w:rsidRPr="003F14C9">
        <w:rPr>
          <w:rStyle w:val="cf01"/>
          <w:rFonts w:asciiTheme="minorHAnsi" w:hAnsiTheme="minorHAnsi" w:cstheme="minorHAnsi"/>
          <w:b w:val="0"/>
          <w:bCs w:val="0"/>
          <w:sz w:val="22"/>
          <w:szCs w:val="22"/>
        </w:rPr>
        <w:t>multiple adverse effects</w:t>
      </w:r>
      <w:r>
        <w:rPr>
          <w:rStyle w:val="cf01"/>
          <w:rFonts w:asciiTheme="minorHAnsi" w:hAnsiTheme="minorHAnsi" w:cstheme="minorHAnsi"/>
          <w:b w:val="0"/>
          <w:bCs w:val="0"/>
          <w:sz w:val="22"/>
          <w:szCs w:val="22"/>
        </w:rPr>
        <w:t xml:space="preserve"> </w:t>
      </w:r>
      <w:r w:rsidR="00C323C0" w:rsidRPr="003F14C9">
        <w:rPr>
          <w:rStyle w:val="cf01"/>
          <w:rFonts w:asciiTheme="minorHAnsi" w:hAnsiTheme="minorHAnsi" w:cstheme="minorHAnsi"/>
          <w:b w:val="0"/>
          <w:bCs w:val="0"/>
          <w:sz w:val="22"/>
          <w:szCs w:val="22"/>
        </w:rPr>
        <w:t>related to high doses and prolonged use.</w:t>
      </w:r>
    </w:p>
    <w:tbl>
      <w:tblPr>
        <w:tblStyle w:val="TableGrid"/>
        <w:tblW w:w="0" w:type="auto"/>
        <w:tblLook w:val="04A0" w:firstRow="1" w:lastRow="0" w:firstColumn="1" w:lastColumn="0" w:noHBand="0" w:noVBand="1"/>
      </w:tblPr>
      <w:tblGrid>
        <w:gridCol w:w="10456"/>
      </w:tblGrid>
      <w:tr w:rsidR="00FB694F" w14:paraId="50B2230E" w14:textId="77777777" w:rsidTr="00B92F13">
        <w:tc>
          <w:tcPr>
            <w:tcW w:w="10456" w:type="dxa"/>
          </w:tcPr>
          <w:p w14:paraId="22D05F16" w14:textId="77777777" w:rsidR="00FB694F" w:rsidRDefault="00FB694F" w:rsidP="00B92F13">
            <w:pPr>
              <w:jc w:val="both"/>
              <w:rPr>
                <w:rFonts w:cstheme="minorHAnsi"/>
                <w:b/>
                <w:color w:val="FF0000"/>
                <w:spacing w:val="-2"/>
                <w:sz w:val="24"/>
                <w:szCs w:val="24"/>
                <w:u w:val="single"/>
              </w:rPr>
            </w:pPr>
            <w:r w:rsidRPr="00D06858">
              <w:rPr>
                <w:rFonts w:cstheme="minorHAnsi"/>
                <w:b/>
                <w:color w:val="FF0000"/>
                <w:spacing w:val="-2"/>
                <w:sz w:val="24"/>
                <w:szCs w:val="24"/>
                <w:u w:val="single"/>
              </w:rPr>
              <w:t>NEMLC RECOMMENDATION (</w:t>
            </w:r>
            <w:r>
              <w:rPr>
                <w:rFonts w:cstheme="minorHAnsi"/>
                <w:b/>
                <w:color w:val="FF0000"/>
                <w:spacing w:val="-2"/>
                <w:sz w:val="24"/>
                <w:szCs w:val="24"/>
                <w:u w:val="single"/>
              </w:rPr>
              <w:t>20 OCTOBER 2022</w:t>
            </w:r>
            <w:r w:rsidRPr="00D06858">
              <w:rPr>
                <w:rFonts w:cstheme="minorHAnsi"/>
                <w:b/>
                <w:color w:val="FF0000"/>
                <w:spacing w:val="-2"/>
                <w:sz w:val="24"/>
                <w:szCs w:val="24"/>
                <w:u w:val="single"/>
              </w:rPr>
              <w:t xml:space="preserve"> MEETING):</w:t>
            </w:r>
          </w:p>
          <w:p w14:paraId="5FD8E0FC" w14:textId="04EAF9B2" w:rsidR="00FB694F" w:rsidRPr="00FB694F" w:rsidRDefault="00FB694F" w:rsidP="00FB694F">
            <w:pPr>
              <w:jc w:val="both"/>
              <w:rPr>
                <w:rFonts w:cstheme="minorHAnsi"/>
                <w:bCs/>
                <w:color w:val="FF0000"/>
                <w:spacing w:val="-2"/>
              </w:rPr>
            </w:pPr>
            <w:r>
              <w:rPr>
                <w:rFonts w:cstheme="minorHAnsi"/>
                <w:bCs/>
                <w:color w:val="FF0000"/>
                <w:spacing w:val="-2"/>
              </w:rPr>
              <w:t xml:space="preserve">The NEMLC </w:t>
            </w:r>
            <w:r>
              <w:rPr>
                <w:rFonts w:cstheme="minorHAnsi"/>
                <w:bCs/>
                <w:color w:val="FF0000"/>
                <w:spacing w:val="-2"/>
              </w:rPr>
              <w:t>recommended the deletion of oral cetirizine, as oral therapy was less likely to be administered for angioedema.</w:t>
            </w:r>
          </w:p>
        </w:tc>
      </w:tr>
    </w:tbl>
    <w:p w14:paraId="06F9F221" w14:textId="159CCFBA" w:rsidR="00144B02" w:rsidRDefault="00144B02" w:rsidP="009978C3">
      <w:pPr>
        <w:pStyle w:val="ListParagraph"/>
        <w:spacing w:after="0" w:line="240" w:lineRule="auto"/>
        <w:ind w:left="0"/>
        <w:jc w:val="both"/>
        <w:rPr>
          <w:rFonts w:cstheme="minorHAnsi"/>
          <w:b/>
        </w:rPr>
      </w:pPr>
    </w:p>
    <w:p w14:paraId="3BD9E032" w14:textId="77777777" w:rsidR="00FB694F" w:rsidRDefault="00FB694F" w:rsidP="009978C3">
      <w:pPr>
        <w:pStyle w:val="ListParagraph"/>
        <w:spacing w:after="0" w:line="240" w:lineRule="auto"/>
        <w:ind w:left="0"/>
        <w:jc w:val="both"/>
        <w:rPr>
          <w:rFonts w:cstheme="minorHAnsi"/>
          <w:b/>
        </w:rPr>
      </w:pPr>
    </w:p>
    <w:tbl>
      <w:tblPr>
        <w:tblW w:w="5000" w:type="pct"/>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ook w:val="00A0" w:firstRow="1" w:lastRow="0" w:firstColumn="1" w:lastColumn="0" w:noHBand="0" w:noVBand="0"/>
      </w:tblPr>
      <w:tblGrid>
        <w:gridCol w:w="10436"/>
      </w:tblGrid>
      <w:tr w:rsidR="00144B02" w:rsidRPr="00600007" w14:paraId="56C103C0" w14:textId="77777777" w:rsidTr="004450CB">
        <w:tc>
          <w:tcPr>
            <w:tcW w:w="5000" w:type="pct"/>
            <w:tcBorders>
              <w:top w:val="double" w:sz="4" w:space="0" w:color="C0C0C0"/>
              <w:left w:val="double" w:sz="4" w:space="0" w:color="C0C0C0"/>
              <w:bottom w:val="double" w:sz="4" w:space="0" w:color="C0C0C0"/>
              <w:right w:val="double" w:sz="4" w:space="0" w:color="C0C0C0"/>
            </w:tcBorders>
          </w:tcPr>
          <w:p w14:paraId="2AD8B5BE" w14:textId="38A81BAA" w:rsidR="00144B02" w:rsidRPr="00600007" w:rsidRDefault="003F14C9" w:rsidP="004450CB">
            <w:pPr>
              <w:widowControl w:val="0"/>
              <w:autoSpaceDE w:val="0"/>
              <w:autoSpaceDN w:val="0"/>
              <w:adjustRightInd w:val="0"/>
              <w:spacing w:before="120" w:after="120" w:line="240" w:lineRule="auto"/>
              <w:rPr>
                <w:rFonts w:cs="Calibri"/>
                <w:b/>
                <w:lang w:val="en-GB"/>
              </w:rPr>
            </w:pPr>
            <w:r>
              <w:rPr>
                <w:rFonts w:cs="Calibri"/>
                <w:b/>
                <w:spacing w:val="-4"/>
                <w:szCs w:val="20"/>
                <w:lang w:val="en-GB"/>
              </w:rPr>
              <w:lastRenderedPageBreak/>
              <w:t>20.7</w:t>
            </w:r>
            <w:r w:rsidR="00144B02">
              <w:rPr>
                <w:rFonts w:cs="Calibri"/>
                <w:b/>
                <w:spacing w:val="-4"/>
                <w:szCs w:val="20"/>
                <w:lang w:val="en-GB"/>
              </w:rPr>
              <w:t xml:space="preserve"> ANAPHYLAXIS</w:t>
            </w:r>
            <w:r>
              <w:rPr>
                <w:rFonts w:cs="Calibri"/>
                <w:b/>
                <w:spacing w:val="-4"/>
                <w:szCs w:val="20"/>
                <w:lang w:val="en-GB"/>
              </w:rPr>
              <w:t>/ ANAPHYLACTIC SHOCK</w:t>
            </w:r>
          </w:p>
        </w:tc>
      </w:tr>
    </w:tbl>
    <w:p w14:paraId="3F3EF5EA" w14:textId="2CEAE9ED" w:rsidR="003F14C9" w:rsidRDefault="003F14C9" w:rsidP="003F14C9">
      <w:pPr>
        <w:pStyle w:val="ListParagraph"/>
        <w:spacing w:after="0" w:line="240" w:lineRule="auto"/>
        <w:ind w:left="0"/>
        <w:jc w:val="both"/>
        <w:rPr>
          <w:rFonts w:cstheme="minorHAnsi"/>
        </w:rPr>
      </w:pPr>
      <w:r>
        <w:rPr>
          <w:rFonts w:cstheme="minorHAnsi"/>
        </w:rPr>
        <w:t>Aligned with the NEMLC-approved PHC emergencies and injuries chapter</w:t>
      </w:r>
      <w:r>
        <w:rPr>
          <w:rStyle w:val="FootnoteReference"/>
          <w:rFonts w:cstheme="minorHAnsi"/>
        </w:rPr>
        <w:footnoteReference w:id="15"/>
      </w:r>
      <w:r>
        <w:rPr>
          <w:rFonts w:cstheme="minorHAnsi"/>
        </w:rPr>
        <w:t>, as follows.</w:t>
      </w:r>
    </w:p>
    <w:p w14:paraId="53BFF985" w14:textId="77777777" w:rsidR="003F14C9" w:rsidRDefault="003F14C9" w:rsidP="003F14C9">
      <w:pPr>
        <w:pStyle w:val="ListParagraph"/>
        <w:spacing w:after="0" w:line="240" w:lineRule="auto"/>
        <w:ind w:left="0"/>
        <w:jc w:val="both"/>
        <w:rPr>
          <w:rFonts w:cstheme="minorHAnsi"/>
        </w:rPr>
      </w:pPr>
    </w:p>
    <w:p w14:paraId="45B9D2C3" w14:textId="77777777" w:rsidR="00144B02" w:rsidRDefault="00144B02" w:rsidP="00144B02">
      <w:pPr>
        <w:spacing w:after="0" w:line="240" w:lineRule="auto"/>
        <w:jc w:val="both"/>
        <w:textAlignment w:val="baseline"/>
        <w:rPr>
          <w:rFonts w:cstheme="minorHAnsi"/>
          <w:b/>
          <w:shd w:val="clear" w:color="auto" w:fill="FFFFFF"/>
        </w:rPr>
      </w:pPr>
      <w:r w:rsidRPr="00BA0DFF">
        <w:rPr>
          <w:rFonts w:cstheme="minorHAnsi"/>
          <w:b/>
          <w:shd w:val="clear" w:color="auto" w:fill="FFFFFF"/>
        </w:rPr>
        <w:t>General measures</w:t>
      </w:r>
    </w:p>
    <w:p w14:paraId="04D75FE8" w14:textId="77777777" w:rsidR="00144B02" w:rsidRPr="00323AAB" w:rsidRDefault="00144B02" w:rsidP="00144B02">
      <w:pPr>
        <w:spacing w:after="0" w:line="240" w:lineRule="auto"/>
        <w:jc w:val="both"/>
        <w:textAlignment w:val="baseline"/>
        <w:rPr>
          <w:rFonts w:cstheme="minorHAnsi"/>
          <w:shd w:val="clear" w:color="auto" w:fill="FFFFFF"/>
        </w:rPr>
      </w:pPr>
      <w:r w:rsidRPr="00323AAB">
        <w:rPr>
          <w:rFonts w:cstheme="minorHAnsi"/>
          <w:u w:val="single"/>
          <w:shd w:val="clear" w:color="auto" w:fill="FFFFFF"/>
        </w:rPr>
        <w:t>Guidance on anaphylaxis associated with vaccinations</w:t>
      </w:r>
      <w:r w:rsidRPr="00323AAB">
        <w:rPr>
          <w:rFonts w:cstheme="minorHAnsi"/>
          <w:shd w:val="clear" w:color="auto" w:fill="FFFFFF"/>
        </w:rPr>
        <w:t xml:space="preserve">: </w:t>
      </w:r>
      <w:r w:rsidRPr="00323AAB">
        <w:rPr>
          <w:rFonts w:cstheme="minorHAnsi"/>
          <w:i/>
          <w:shd w:val="clear" w:color="auto" w:fill="FFFFFF"/>
        </w:rPr>
        <w:t>added</w:t>
      </w:r>
    </w:p>
    <w:p w14:paraId="5586EB52" w14:textId="77777777" w:rsidR="00144B02" w:rsidRDefault="00144B02" w:rsidP="00144B02">
      <w:pPr>
        <w:pStyle w:val="ListParagraph"/>
        <w:spacing w:after="0" w:line="240" w:lineRule="auto"/>
        <w:ind w:left="0"/>
        <w:jc w:val="both"/>
        <w:rPr>
          <w:rFonts w:cstheme="minorHAnsi"/>
        </w:rPr>
      </w:pPr>
      <w:r>
        <w:rPr>
          <w:rFonts w:cstheme="minorHAnsi"/>
        </w:rPr>
        <w:t>Guidance was included in the STG on non-pharmacological management of a</w:t>
      </w:r>
      <w:r w:rsidRPr="001A5B58">
        <w:rPr>
          <w:rFonts w:cstheme="minorHAnsi"/>
        </w:rPr>
        <w:t>naphylax</w:t>
      </w:r>
      <w:r>
        <w:rPr>
          <w:rFonts w:cstheme="minorHAnsi"/>
        </w:rPr>
        <w:t>is associated with vaccinations, aligned with WHO guidance</w:t>
      </w:r>
      <w:r>
        <w:rPr>
          <w:rStyle w:val="FootnoteReference"/>
          <w:rFonts w:cstheme="minorHAnsi"/>
        </w:rPr>
        <w:footnoteReference w:id="16"/>
      </w:r>
      <w:r>
        <w:rPr>
          <w:rFonts w:cstheme="minorHAnsi"/>
        </w:rPr>
        <w:t>, as follows:</w:t>
      </w:r>
    </w:p>
    <w:tbl>
      <w:tblPr>
        <w:tblStyle w:val="TableGrid"/>
        <w:tblW w:w="0" w:type="auto"/>
        <w:tblLook w:val="04A0" w:firstRow="1" w:lastRow="0" w:firstColumn="1" w:lastColumn="0" w:noHBand="0" w:noVBand="1"/>
      </w:tblPr>
      <w:tblGrid>
        <w:gridCol w:w="10456"/>
      </w:tblGrid>
      <w:tr w:rsidR="00144B02" w14:paraId="2AB5974E" w14:textId="77777777" w:rsidTr="00F61BA0">
        <w:tc>
          <w:tcPr>
            <w:tcW w:w="10456" w:type="dxa"/>
            <w:tcBorders>
              <w:bottom w:val="double" w:sz="4" w:space="0" w:color="auto"/>
            </w:tcBorders>
          </w:tcPr>
          <w:p w14:paraId="33FE90CA" w14:textId="77777777" w:rsidR="00144B02" w:rsidRPr="001A5B58" w:rsidRDefault="00144B02" w:rsidP="004450CB">
            <w:pPr>
              <w:pStyle w:val="Default"/>
              <w:rPr>
                <w:rFonts w:asciiTheme="minorHAnsi" w:hAnsiTheme="minorHAnsi" w:cstheme="minorHAnsi"/>
                <w:spacing w:val="-4"/>
                <w:sz w:val="18"/>
                <w:szCs w:val="20"/>
                <w:u w:val="single"/>
              </w:rPr>
            </w:pPr>
            <w:r w:rsidRPr="001A5B58">
              <w:rPr>
                <w:rFonts w:asciiTheme="minorHAnsi" w:hAnsiTheme="minorHAnsi" w:cstheme="minorHAnsi"/>
                <w:spacing w:val="-4"/>
                <w:sz w:val="18"/>
                <w:szCs w:val="20"/>
                <w:u w:val="single"/>
              </w:rPr>
              <w:t>Anaphylaxis associated with vaccinations:</w:t>
            </w:r>
          </w:p>
          <w:p w14:paraId="480573B8" w14:textId="77777777" w:rsidR="00144B02" w:rsidRPr="001A5B58" w:rsidRDefault="00144B02" w:rsidP="004450CB">
            <w:pPr>
              <w:pStyle w:val="ListParagraph"/>
              <w:numPr>
                <w:ilvl w:val="0"/>
                <w:numId w:val="1"/>
              </w:numPr>
              <w:jc w:val="both"/>
              <w:rPr>
                <w:rFonts w:cstheme="minorHAnsi"/>
                <w:spacing w:val="-4"/>
                <w:sz w:val="18"/>
                <w:szCs w:val="20"/>
                <w:u w:val="single"/>
              </w:rPr>
            </w:pPr>
            <w:r w:rsidRPr="001A5B58">
              <w:rPr>
                <w:rFonts w:cstheme="minorHAnsi"/>
                <w:spacing w:val="-4"/>
                <w:sz w:val="18"/>
                <w:szCs w:val="20"/>
                <w:u w:val="single"/>
              </w:rPr>
              <w:t xml:space="preserve">Always keep a fully equipped emergency tray at the immunisation point. </w:t>
            </w:r>
          </w:p>
          <w:p w14:paraId="1435279F" w14:textId="77777777" w:rsidR="00144B02" w:rsidRPr="001A5B58" w:rsidRDefault="00144B02" w:rsidP="004450CB">
            <w:pPr>
              <w:pStyle w:val="ListParagraph"/>
              <w:numPr>
                <w:ilvl w:val="0"/>
                <w:numId w:val="1"/>
              </w:numPr>
              <w:jc w:val="both"/>
              <w:rPr>
                <w:rFonts w:cstheme="minorHAnsi"/>
                <w:bCs/>
                <w:color w:val="000000"/>
                <w:spacing w:val="-4"/>
                <w:sz w:val="18"/>
                <w:szCs w:val="20"/>
                <w:u w:val="single"/>
                <w:lang w:val="en-GB"/>
              </w:rPr>
            </w:pPr>
            <w:r w:rsidRPr="001A5B58">
              <w:rPr>
                <w:rFonts w:cstheme="minorHAnsi"/>
                <w:bCs/>
                <w:color w:val="000000"/>
                <w:spacing w:val="-4"/>
                <w:sz w:val="18"/>
                <w:szCs w:val="20"/>
                <w:u w:val="single"/>
                <w:lang w:val="en-GB"/>
              </w:rPr>
              <w:t>It is advisable to observe clients for 15 minutes after a vaccination. If a client is known with severe allergies, an observation period of 30 minutes is advised.</w:t>
            </w:r>
          </w:p>
          <w:p w14:paraId="563DC711" w14:textId="77777777" w:rsidR="00144B02" w:rsidRPr="001A5B58" w:rsidRDefault="00144B02" w:rsidP="004450CB">
            <w:pPr>
              <w:pStyle w:val="ListParagraph"/>
              <w:numPr>
                <w:ilvl w:val="0"/>
                <w:numId w:val="1"/>
              </w:numPr>
              <w:jc w:val="both"/>
              <w:rPr>
                <w:rFonts w:cstheme="minorHAnsi"/>
                <w:bCs/>
                <w:color w:val="000000"/>
                <w:spacing w:val="-4"/>
                <w:sz w:val="18"/>
                <w:szCs w:val="20"/>
                <w:u w:val="single"/>
                <w:lang w:val="en-GB"/>
              </w:rPr>
            </w:pPr>
            <w:r w:rsidRPr="001A5B58">
              <w:rPr>
                <w:rFonts w:cstheme="minorHAnsi"/>
                <w:bCs/>
                <w:color w:val="000000"/>
                <w:spacing w:val="-4"/>
                <w:sz w:val="18"/>
                <w:szCs w:val="20"/>
                <w:u w:val="single"/>
                <w:lang w:val="en-GB"/>
              </w:rPr>
              <w:t>Clients who develop symptoms should be assessed for possible vaccination associated anaphylaxis by considering the following:</w:t>
            </w:r>
          </w:p>
          <w:p w14:paraId="1B0ABBE2" w14:textId="77777777" w:rsidR="00144B02" w:rsidRPr="001A5B58" w:rsidRDefault="00144B02" w:rsidP="004450CB">
            <w:pPr>
              <w:pStyle w:val="ep4"/>
              <w:numPr>
                <w:ilvl w:val="0"/>
                <w:numId w:val="7"/>
              </w:numPr>
              <w:tabs>
                <w:tab w:val="left" w:pos="284"/>
              </w:tabs>
              <w:spacing w:line="240" w:lineRule="auto"/>
              <w:ind w:left="567" w:hanging="283"/>
              <w:rPr>
                <w:rFonts w:asciiTheme="minorHAnsi" w:hAnsiTheme="minorHAnsi" w:cstheme="minorHAnsi"/>
                <w:bCs w:val="0"/>
                <w:color w:val="000000"/>
                <w:spacing w:val="-4"/>
                <w:sz w:val="18"/>
                <w:u w:val="single"/>
                <w:lang w:val="en-GB"/>
              </w:rPr>
            </w:pPr>
            <w:r w:rsidRPr="001A5B58">
              <w:rPr>
                <w:rFonts w:asciiTheme="minorHAnsi" w:hAnsiTheme="minorHAnsi" w:cstheme="minorHAnsi"/>
                <w:color w:val="000000"/>
                <w:spacing w:val="-4"/>
                <w:sz w:val="18"/>
                <w:u w:val="single"/>
                <w:lang w:val="en-GB"/>
              </w:rPr>
              <w:t>If signs and symptoms are generalised – involving more than 2 body systems, manage as anaphylaxis.</w:t>
            </w:r>
          </w:p>
          <w:p w14:paraId="05D68560" w14:textId="77777777" w:rsidR="00144B02" w:rsidRPr="001A5B58" w:rsidRDefault="00144B02" w:rsidP="004450CB">
            <w:pPr>
              <w:pStyle w:val="ep4"/>
              <w:numPr>
                <w:ilvl w:val="0"/>
                <w:numId w:val="7"/>
              </w:numPr>
              <w:tabs>
                <w:tab w:val="left" w:pos="284"/>
              </w:tabs>
              <w:spacing w:line="240" w:lineRule="auto"/>
              <w:ind w:left="567" w:hanging="283"/>
              <w:rPr>
                <w:rFonts w:asciiTheme="minorHAnsi" w:hAnsiTheme="minorHAnsi" w:cstheme="minorHAnsi"/>
                <w:bCs w:val="0"/>
                <w:color w:val="000000"/>
                <w:spacing w:val="-4"/>
                <w:sz w:val="18"/>
                <w:u w:val="single"/>
                <w:lang w:val="en-GB"/>
              </w:rPr>
            </w:pPr>
            <w:r w:rsidRPr="001A5B58">
              <w:rPr>
                <w:rFonts w:asciiTheme="minorHAnsi" w:hAnsiTheme="minorHAnsi" w:cstheme="minorHAnsi"/>
                <w:color w:val="000000"/>
                <w:spacing w:val="-4"/>
                <w:sz w:val="18"/>
                <w:u w:val="single"/>
                <w:lang w:val="en-GB"/>
              </w:rPr>
              <w:t>If signs and symptoms are serious or life-threatening, even if only one body. system is involved, treat as anaphylaxis (including hypotension, respiratory distress significant swelling of lips or tongue).</w:t>
            </w:r>
          </w:p>
          <w:p w14:paraId="11C7772A" w14:textId="77777777" w:rsidR="00144B02" w:rsidRPr="001A5B58" w:rsidRDefault="00144B02" w:rsidP="004450CB">
            <w:pPr>
              <w:pStyle w:val="ep4"/>
              <w:numPr>
                <w:ilvl w:val="0"/>
                <w:numId w:val="7"/>
              </w:numPr>
              <w:tabs>
                <w:tab w:val="left" w:pos="284"/>
              </w:tabs>
              <w:spacing w:line="240" w:lineRule="auto"/>
              <w:ind w:left="567" w:hanging="283"/>
              <w:rPr>
                <w:rFonts w:asciiTheme="minorHAnsi" w:hAnsiTheme="minorHAnsi" w:cstheme="minorHAnsi"/>
                <w:bCs w:val="0"/>
                <w:color w:val="000000"/>
                <w:spacing w:val="-4"/>
                <w:sz w:val="18"/>
                <w:u w:val="single"/>
                <w:lang w:val="en-GB"/>
              </w:rPr>
            </w:pPr>
            <w:r w:rsidRPr="001A5B58">
              <w:rPr>
                <w:rFonts w:asciiTheme="minorHAnsi" w:hAnsiTheme="minorHAnsi" w:cstheme="minorHAnsi"/>
                <w:color w:val="000000"/>
                <w:spacing w:val="-4"/>
                <w:sz w:val="18"/>
                <w:u w:val="single"/>
                <w:lang w:val="en-GB"/>
              </w:rPr>
              <w:t>If isolated rash in an otherwise well client, monitor for 30 minutes.</w:t>
            </w:r>
          </w:p>
          <w:p w14:paraId="2C333E15" w14:textId="77777777" w:rsidR="00144B02" w:rsidRPr="001A5B58" w:rsidRDefault="00144B02" w:rsidP="004450CB">
            <w:pPr>
              <w:pStyle w:val="ListParagraph"/>
              <w:numPr>
                <w:ilvl w:val="0"/>
                <w:numId w:val="1"/>
              </w:numPr>
              <w:jc w:val="both"/>
              <w:rPr>
                <w:rFonts w:cstheme="minorHAnsi"/>
                <w:bCs/>
                <w:color w:val="000000"/>
                <w:spacing w:val="-4"/>
                <w:sz w:val="18"/>
                <w:szCs w:val="20"/>
                <w:u w:val="single"/>
                <w:lang w:val="en-GB"/>
              </w:rPr>
            </w:pPr>
            <w:r w:rsidRPr="001A5B58">
              <w:rPr>
                <w:rFonts w:cstheme="minorHAnsi"/>
                <w:bCs/>
                <w:color w:val="000000"/>
                <w:spacing w:val="-4"/>
                <w:sz w:val="18"/>
                <w:szCs w:val="20"/>
                <w:u w:val="single"/>
                <w:lang w:val="en-GB"/>
              </w:rPr>
              <w:t>Clients who collapse following vaccination:</w:t>
            </w:r>
          </w:p>
          <w:p w14:paraId="44E16B78" w14:textId="77777777" w:rsidR="00144B02" w:rsidRPr="001A5B58" w:rsidRDefault="00144B02" w:rsidP="004450CB">
            <w:pPr>
              <w:pStyle w:val="ep4"/>
              <w:numPr>
                <w:ilvl w:val="0"/>
                <w:numId w:val="7"/>
              </w:numPr>
              <w:tabs>
                <w:tab w:val="left" w:pos="284"/>
              </w:tabs>
              <w:spacing w:line="240" w:lineRule="auto"/>
              <w:ind w:left="567" w:hanging="283"/>
              <w:rPr>
                <w:rFonts w:asciiTheme="minorHAnsi" w:hAnsiTheme="minorHAnsi" w:cstheme="minorHAnsi"/>
                <w:bCs w:val="0"/>
                <w:color w:val="000000"/>
                <w:spacing w:val="-4"/>
                <w:sz w:val="18"/>
                <w:u w:val="single"/>
                <w:lang w:val="en-GB"/>
              </w:rPr>
            </w:pPr>
            <w:r w:rsidRPr="001A5B58">
              <w:rPr>
                <w:rFonts w:asciiTheme="minorHAnsi" w:hAnsiTheme="minorHAnsi" w:cstheme="minorHAnsi"/>
                <w:color w:val="000000"/>
                <w:spacing w:val="-4"/>
                <w:sz w:val="18"/>
                <w:u w:val="single"/>
                <w:lang w:val="en-GB"/>
              </w:rPr>
              <w:t>Call for help and put patient on his/her back and raise legs.</w:t>
            </w:r>
          </w:p>
          <w:p w14:paraId="16E4AB25" w14:textId="77777777" w:rsidR="00144B02" w:rsidRPr="001A5B58" w:rsidRDefault="00144B02" w:rsidP="004450CB">
            <w:pPr>
              <w:pStyle w:val="ep4"/>
              <w:numPr>
                <w:ilvl w:val="0"/>
                <w:numId w:val="7"/>
              </w:numPr>
              <w:tabs>
                <w:tab w:val="left" w:pos="284"/>
              </w:tabs>
              <w:spacing w:line="240" w:lineRule="auto"/>
              <w:ind w:left="567" w:hanging="283"/>
              <w:rPr>
                <w:rFonts w:asciiTheme="minorHAnsi" w:hAnsiTheme="minorHAnsi" w:cstheme="minorHAnsi"/>
                <w:bCs w:val="0"/>
                <w:color w:val="000000"/>
                <w:spacing w:val="-4"/>
                <w:sz w:val="18"/>
                <w:u w:val="single"/>
                <w:lang w:val="en-GB"/>
              </w:rPr>
            </w:pPr>
            <w:r w:rsidRPr="001A5B58">
              <w:rPr>
                <w:rFonts w:asciiTheme="minorHAnsi" w:hAnsiTheme="minorHAnsi" w:cstheme="minorHAnsi"/>
                <w:color w:val="000000"/>
                <w:spacing w:val="-4"/>
                <w:sz w:val="18"/>
                <w:u w:val="single"/>
                <w:lang w:val="en-GB"/>
              </w:rPr>
              <w:t>Check if responsive – if unresponsive, commence CPR (See section 21.1)</w:t>
            </w:r>
          </w:p>
          <w:p w14:paraId="5D866808" w14:textId="77777777" w:rsidR="00144B02" w:rsidRPr="001A5B58" w:rsidRDefault="00144B02" w:rsidP="004450CB">
            <w:pPr>
              <w:pStyle w:val="ep4"/>
              <w:numPr>
                <w:ilvl w:val="0"/>
                <w:numId w:val="7"/>
              </w:numPr>
              <w:tabs>
                <w:tab w:val="left" w:pos="284"/>
              </w:tabs>
              <w:spacing w:line="240" w:lineRule="auto"/>
              <w:ind w:left="567" w:hanging="283"/>
              <w:rPr>
                <w:rFonts w:asciiTheme="minorHAnsi" w:hAnsiTheme="minorHAnsi" w:cstheme="minorHAnsi"/>
                <w:bCs w:val="0"/>
                <w:color w:val="000000"/>
                <w:spacing w:val="-4"/>
                <w:sz w:val="18"/>
                <w:u w:val="single"/>
                <w:lang w:val="en-GB"/>
              </w:rPr>
            </w:pPr>
            <w:r w:rsidRPr="001A5B58">
              <w:rPr>
                <w:rFonts w:asciiTheme="minorHAnsi" w:hAnsiTheme="minorHAnsi" w:cstheme="minorHAnsi"/>
                <w:color w:val="000000"/>
                <w:spacing w:val="-4"/>
                <w:sz w:val="18"/>
                <w:u w:val="single"/>
                <w:lang w:val="en-GB"/>
              </w:rPr>
              <w:t>A vasovagal episode is usually associated with a transient loss of consciousness (&lt; 1 minute), relieved by raising the legs when supine, transient low BP and low HR.</w:t>
            </w:r>
          </w:p>
          <w:p w14:paraId="0851E096" w14:textId="77777777" w:rsidR="00144B02" w:rsidRPr="001A5B58" w:rsidRDefault="00144B02" w:rsidP="004450CB">
            <w:pPr>
              <w:pStyle w:val="ep4"/>
              <w:numPr>
                <w:ilvl w:val="0"/>
                <w:numId w:val="7"/>
              </w:numPr>
              <w:tabs>
                <w:tab w:val="left" w:pos="284"/>
              </w:tabs>
              <w:spacing w:line="240" w:lineRule="auto"/>
              <w:ind w:left="567" w:hanging="283"/>
              <w:rPr>
                <w:rFonts w:asciiTheme="minorHAnsi" w:hAnsiTheme="minorHAnsi" w:cstheme="minorHAnsi"/>
                <w:bCs w:val="0"/>
                <w:color w:val="000000"/>
                <w:spacing w:val="-4"/>
                <w:sz w:val="18"/>
                <w:u w:val="single"/>
                <w:lang w:val="en-GB"/>
              </w:rPr>
            </w:pPr>
            <w:r w:rsidRPr="001A5B58">
              <w:rPr>
                <w:rFonts w:asciiTheme="minorHAnsi" w:hAnsiTheme="minorHAnsi" w:cstheme="minorHAnsi"/>
                <w:color w:val="000000"/>
                <w:spacing w:val="-4"/>
                <w:sz w:val="18"/>
                <w:u w:val="single"/>
                <w:lang w:val="en-GB"/>
              </w:rPr>
              <w:t>Collapsing after vaccination usually occurs 5-10 minutes post-vaccination, but can occur up to an hour afterwards.</w:t>
            </w:r>
          </w:p>
          <w:p w14:paraId="4821A0A0" w14:textId="77777777" w:rsidR="00144B02" w:rsidRPr="001A5B58" w:rsidRDefault="00144B02" w:rsidP="004450CB">
            <w:pPr>
              <w:pStyle w:val="ep4"/>
              <w:numPr>
                <w:ilvl w:val="0"/>
                <w:numId w:val="7"/>
              </w:numPr>
              <w:tabs>
                <w:tab w:val="left" w:pos="284"/>
              </w:tabs>
              <w:spacing w:line="240" w:lineRule="auto"/>
              <w:ind w:left="567" w:hanging="283"/>
              <w:rPr>
                <w:rFonts w:asciiTheme="minorHAnsi" w:hAnsiTheme="minorHAnsi" w:cstheme="minorHAnsi"/>
                <w:bCs w:val="0"/>
                <w:color w:val="000000"/>
                <w:spacing w:val="-4"/>
                <w:sz w:val="18"/>
                <w:u w:val="single"/>
                <w:lang w:val="en-GB"/>
              </w:rPr>
            </w:pPr>
            <w:r w:rsidRPr="001A5B58">
              <w:rPr>
                <w:rFonts w:asciiTheme="minorHAnsi" w:hAnsiTheme="minorHAnsi" w:cstheme="minorHAnsi"/>
                <w:color w:val="000000"/>
                <w:spacing w:val="-4"/>
                <w:sz w:val="18"/>
                <w:u w:val="single"/>
                <w:lang w:val="en-GB"/>
              </w:rPr>
              <w:t>Treat as anaphylaxis if loss of consciousness is not brief and not relieved by raising the legs, or when any of the warning signs for anaphylaxis occur.</w:t>
            </w:r>
          </w:p>
          <w:p w14:paraId="4D1BF490" w14:textId="77777777" w:rsidR="00144B02" w:rsidRDefault="00144B02" w:rsidP="004450CB">
            <w:pPr>
              <w:pStyle w:val="ListParagraph"/>
              <w:ind w:left="0"/>
              <w:jc w:val="both"/>
              <w:rPr>
                <w:rFonts w:cstheme="minorHAnsi"/>
              </w:rPr>
            </w:pPr>
            <w:r>
              <w:rPr>
                <w:noProof/>
                <w:lang w:val="en-ZA" w:eastAsia="en-ZA"/>
              </w:rPr>
              <w:drawing>
                <wp:inline distT="0" distB="0" distL="0" distR="0" wp14:anchorId="55C26C79" wp14:editId="1EC83AF2">
                  <wp:extent cx="4399200" cy="3902400"/>
                  <wp:effectExtent l="0" t="0" r="190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8649"/>
                          <a:stretch/>
                        </pic:blipFill>
                        <pic:spPr bwMode="auto">
                          <a:xfrm>
                            <a:off x="0" y="0"/>
                            <a:ext cx="4399200" cy="3902400"/>
                          </a:xfrm>
                          <a:prstGeom prst="rect">
                            <a:avLst/>
                          </a:prstGeom>
                          <a:ln>
                            <a:noFill/>
                          </a:ln>
                          <a:extLst>
                            <a:ext uri="{53640926-AAD7-44D8-BBD7-CCE9431645EC}">
                              <a14:shadowObscured xmlns:a14="http://schemas.microsoft.com/office/drawing/2010/main"/>
                            </a:ext>
                          </a:extLst>
                        </pic:spPr>
                      </pic:pic>
                    </a:graphicData>
                  </a:graphic>
                </wp:inline>
              </w:drawing>
            </w:r>
          </w:p>
          <w:p w14:paraId="44821B5E" w14:textId="77777777" w:rsidR="00144B02" w:rsidRPr="001A5B58" w:rsidRDefault="00144B02" w:rsidP="004450CB">
            <w:pPr>
              <w:pStyle w:val="CommentText"/>
              <w:rPr>
                <w:sz w:val="16"/>
                <w:szCs w:val="16"/>
                <w:u w:val="single"/>
              </w:rPr>
            </w:pPr>
            <w:r w:rsidRPr="001A5B58">
              <w:rPr>
                <w:sz w:val="16"/>
                <w:szCs w:val="16"/>
                <w:u w:val="single"/>
              </w:rPr>
              <w:t>Table 21.5: Differences between anaphylaxis, general acute stress response and vasovagal reaction with syncope</w:t>
            </w:r>
          </w:p>
          <w:p w14:paraId="4E60C3EF" w14:textId="77777777" w:rsidR="00144B02" w:rsidRPr="001A5B58" w:rsidRDefault="00144B02" w:rsidP="004450CB">
            <w:pPr>
              <w:pStyle w:val="CommentText"/>
              <w:rPr>
                <w:i/>
                <w:sz w:val="16"/>
                <w:szCs w:val="16"/>
                <w:u w:val="single"/>
                <w:lang w:val="en-ZA"/>
              </w:rPr>
            </w:pPr>
            <w:r w:rsidRPr="001A5B58">
              <w:rPr>
                <w:i/>
                <w:sz w:val="16"/>
                <w:szCs w:val="16"/>
                <w:u w:val="single"/>
              </w:rPr>
              <w:t xml:space="preserve">Source: </w:t>
            </w:r>
            <w:r w:rsidRPr="001A5B58">
              <w:rPr>
                <w:i/>
                <w:sz w:val="16"/>
                <w:szCs w:val="16"/>
                <w:u w:val="single"/>
                <w:lang w:val="en-ZA"/>
              </w:rPr>
              <w:t xml:space="preserve">Immunization stress-related response. A manual for program managers and health professionals to prevent, identify and respond to stress related responses following immunization. Geneva: World Health Organization; 2019. </w:t>
            </w:r>
          </w:p>
          <w:p w14:paraId="7149790B" w14:textId="77777777" w:rsidR="00144B02" w:rsidRPr="001A5B58" w:rsidRDefault="00000000" w:rsidP="004450CB">
            <w:pPr>
              <w:pStyle w:val="CommentText"/>
              <w:rPr>
                <w:i/>
                <w:sz w:val="14"/>
                <w:szCs w:val="16"/>
                <w:lang w:val="en-ZA"/>
              </w:rPr>
            </w:pPr>
            <w:hyperlink r:id="rId19" w:history="1">
              <w:r w:rsidR="00144B02" w:rsidRPr="001A5B58">
                <w:rPr>
                  <w:rStyle w:val="Hyperlink"/>
                  <w:i/>
                  <w:sz w:val="16"/>
                  <w:szCs w:val="16"/>
                  <w:lang w:val="en-ZA"/>
                </w:rPr>
                <w:t>https://apps.who.int/iris/handle/10665/330277</w:t>
              </w:r>
            </w:hyperlink>
            <w:r w:rsidR="00144B02" w:rsidRPr="001A5B58">
              <w:rPr>
                <w:i/>
                <w:sz w:val="14"/>
                <w:szCs w:val="16"/>
                <w:lang w:val="en-ZA"/>
              </w:rPr>
              <w:t xml:space="preserve"> </w:t>
            </w:r>
          </w:p>
        </w:tc>
      </w:tr>
    </w:tbl>
    <w:p w14:paraId="0AD857BA" w14:textId="77777777" w:rsidR="00DF592A" w:rsidRDefault="00DF592A" w:rsidP="00144B02">
      <w:pPr>
        <w:pStyle w:val="ListParagraph"/>
        <w:spacing w:after="0" w:line="240" w:lineRule="auto"/>
        <w:ind w:left="0"/>
        <w:jc w:val="both"/>
        <w:rPr>
          <w:rFonts w:cstheme="minorHAnsi"/>
          <w:bCs/>
        </w:rPr>
      </w:pPr>
    </w:p>
    <w:p w14:paraId="283BCB3B" w14:textId="77777777" w:rsidR="00DF592A" w:rsidRDefault="00DF592A" w:rsidP="00144B02">
      <w:pPr>
        <w:pStyle w:val="ListParagraph"/>
        <w:spacing w:after="0" w:line="240" w:lineRule="auto"/>
        <w:ind w:left="0"/>
        <w:jc w:val="both"/>
        <w:rPr>
          <w:rFonts w:cstheme="minorHAnsi"/>
          <w:bCs/>
        </w:rPr>
      </w:pPr>
    </w:p>
    <w:tbl>
      <w:tblPr>
        <w:tblStyle w:val="TableGrid"/>
        <w:tblW w:w="0" w:type="auto"/>
        <w:tblLook w:val="04A0" w:firstRow="1" w:lastRow="0" w:firstColumn="1" w:lastColumn="0" w:noHBand="0" w:noVBand="1"/>
      </w:tblPr>
      <w:tblGrid>
        <w:gridCol w:w="10436"/>
      </w:tblGrid>
      <w:tr w:rsidR="00DF592A" w:rsidRPr="00600007" w14:paraId="0B8D0038" w14:textId="77777777" w:rsidTr="004450CB">
        <w:tc>
          <w:tcPr>
            <w:tcW w:w="10456" w:type="dxa"/>
            <w:tcBorders>
              <w:top w:val="double" w:sz="4" w:space="0" w:color="auto"/>
              <w:left w:val="double" w:sz="4" w:space="0" w:color="auto"/>
              <w:bottom w:val="double" w:sz="4" w:space="0" w:color="auto"/>
              <w:right w:val="double" w:sz="4" w:space="0" w:color="auto"/>
            </w:tcBorders>
          </w:tcPr>
          <w:p w14:paraId="166A6AB9" w14:textId="77777777" w:rsidR="00DF592A" w:rsidRPr="00600007" w:rsidRDefault="00DF592A" w:rsidP="004450CB">
            <w:pPr>
              <w:widowControl w:val="0"/>
              <w:autoSpaceDE w:val="0"/>
              <w:autoSpaceDN w:val="0"/>
              <w:adjustRightInd w:val="0"/>
              <w:spacing w:before="120" w:after="120"/>
              <w:rPr>
                <w:rFonts w:cs="Calibri"/>
                <w:b/>
                <w:lang w:val="en-GB"/>
              </w:rPr>
            </w:pPr>
            <w:r>
              <w:rPr>
                <w:rFonts w:cs="Calibri"/>
                <w:b/>
                <w:spacing w:val="-4"/>
                <w:szCs w:val="20"/>
                <w:lang w:val="en-GB"/>
              </w:rPr>
              <w:lastRenderedPageBreak/>
              <w:t>20.8 DELIRIUM</w:t>
            </w:r>
          </w:p>
        </w:tc>
      </w:tr>
    </w:tbl>
    <w:p w14:paraId="27B762D6" w14:textId="2185E200" w:rsidR="00E5595E" w:rsidRPr="000A2074" w:rsidRDefault="00E5595E" w:rsidP="00144B02">
      <w:pPr>
        <w:pStyle w:val="ListParagraph"/>
        <w:spacing w:after="0" w:line="240" w:lineRule="auto"/>
        <w:ind w:left="0"/>
        <w:jc w:val="both"/>
        <w:rPr>
          <w:rFonts w:cstheme="minorHAnsi"/>
          <w:bCs/>
        </w:rPr>
      </w:pPr>
      <w:r w:rsidRPr="000A2074">
        <w:rPr>
          <w:rFonts w:cstheme="minorHAnsi"/>
          <w:bCs/>
        </w:rPr>
        <w:t>The subheading was simplified from “</w:t>
      </w:r>
      <w:r w:rsidRPr="000A2074">
        <w:rPr>
          <w:rFonts w:cstheme="minorHAnsi"/>
          <w:bCs/>
          <w:i/>
          <w:iCs/>
        </w:rPr>
        <w:t>Delirium with perceptual disturbances</w:t>
      </w:r>
      <w:r w:rsidRPr="000A2074">
        <w:rPr>
          <w:rFonts w:cstheme="minorHAnsi"/>
          <w:bCs/>
        </w:rPr>
        <w:t>” to “</w:t>
      </w:r>
      <w:r w:rsidRPr="000A2074">
        <w:rPr>
          <w:rFonts w:cstheme="minorHAnsi"/>
          <w:bCs/>
          <w:i/>
          <w:iCs/>
        </w:rPr>
        <w:t>Delirium</w:t>
      </w:r>
      <w:r w:rsidRPr="000A2074">
        <w:rPr>
          <w:rFonts w:cstheme="minorHAnsi"/>
          <w:bCs/>
        </w:rPr>
        <w:t>”.</w:t>
      </w:r>
    </w:p>
    <w:p w14:paraId="03C52496" w14:textId="77777777" w:rsidR="00E5595E" w:rsidRDefault="00E5595E" w:rsidP="00144B02">
      <w:pPr>
        <w:pStyle w:val="ListParagraph"/>
        <w:spacing w:after="0" w:line="240" w:lineRule="auto"/>
        <w:ind w:left="0"/>
        <w:jc w:val="both"/>
        <w:rPr>
          <w:rFonts w:cstheme="minorHAnsi"/>
          <w:b/>
        </w:rPr>
      </w:pPr>
    </w:p>
    <w:p w14:paraId="18353E79" w14:textId="111D2F97" w:rsidR="00E5595E" w:rsidRPr="00CC4159" w:rsidRDefault="00E5595E" w:rsidP="00144B02">
      <w:pPr>
        <w:pStyle w:val="ListParagraph"/>
        <w:spacing w:after="0" w:line="240" w:lineRule="auto"/>
        <w:ind w:left="0"/>
        <w:jc w:val="both"/>
        <w:rPr>
          <w:rFonts w:cstheme="minorHAnsi"/>
          <w:b/>
        </w:rPr>
      </w:pPr>
      <w:r w:rsidRPr="00CC4159">
        <w:rPr>
          <w:rFonts w:cstheme="minorHAnsi"/>
          <w:b/>
        </w:rPr>
        <w:t>Acute management: For agitated and acutely disturbed patient</w:t>
      </w:r>
    </w:p>
    <w:p w14:paraId="255799A6" w14:textId="45BC854D" w:rsidR="00144B02" w:rsidRPr="00CC4159" w:rsidRDefault="00E5595E" w:rsidP="009978C3">
      <w:pPr>
        <w:pStyle w:val="ListParagraph"/>
        <w:spacing w:after="0" w:line="240" w:lineRule="auto"/>
        <w:ind w:left="0"/>
        <w:jc w:val="both"/>
        <w:rPr>
          <w:rFonts w:cstheme="minorHAnsi"/>
          <w:bCs/>
          <w:u w:val="single"/>
        </w:rPr>
      </w:pPr>
      <w:r w:rsidRPr="00CC4159">
        <w:rPr>
          <w:rFonts w:cstheme="minorHAnsi"/>
          <w:bCs/>
          <w:u w:val="single"/>
        </w:rPr>
        <w:t xml:space="preserve">Haloperidol, IM: </w:t>
      </w:r>
      <w:r w:rsidRPr="00CC4159">
        <w:rPr>
          <w:rFonts w:cstheme="minorHAnsi"/>
          <w:bCs/>
          <w:i/>
          <w:iCs/>
        </w:rPr>
        <w:t>deleted</w:t>
      </w:r>
    </w:p>
    <w:p w14:paraId="3B1F20AF" w14:textId="24DFEFF1" w:rsidR="00E5595E" w:rsidRPr="00CC4159" w:rsidRDefault="00E5595E" w:rsidP="009978C3">
      <w:pPr>
        <w:pStyle w:val="ListParagraph"/>
        <w:spacing w:after="0" w:line="240" w:lineRule="auto"/>
        <w:ind w:left="0"/>
        <w:jc w:val="both"/>
        <w:rPr>
          <w:rFonts w:cstheme="minorHAnsi"/>
          <w:bCs/>
          <w:u w:val="single"/>
        </w:rPr>
      </w:pPr>
      <w:r w:rsidRPr="00CC4159">
        <w:rPr>
          <w:rFonts w:cstheme="minorHAnsi"/>
          <w:bCs/>
          <w:u w:val="single"/>
        </w:rPr>
        <w:t>Olanzapine, oro</w:t>
      </w:r>
      <w:r w:rsidR="000A2074" w:rsidRPr="00CC4159">
        <w:rPr>
          <w:rFonts w:cstheme="minorHAnsi"/>
          <w:bCs/>
          <w:u w:val="single"/>
        </w:rPr>
        <w:t>-</w:t>
      </w:r>
      <w:r w:rsidRPr="00CC4159">
        <w:rPr>
          <w:rFonts w:cstheme="minorHAnsi"/>
          <w:bCs/>
          <w:u w:val="single"/>
        </w:rPr>
        <w:t xml:space="preserve">dispersible: </w:t>
      </w:r>
      <w:r w:rsidRPr="00CC4159">
        <w:rPr>
          <w:rFonts w:cstheme="minorHAnsi"/>
          <w:bCs/>
          <w:i/>
          <w:iCs/>
          <w:u w:val="single"/>
        </w:rPr>
        <w:t>a</w:t>
      </w:r>
      <w:r w:rsidRPr="00CC4159">
        <w:rPr>
          <w:rFonts w:cstheme="minorHAnsi"/>
          <w:bCs/>
          <w:i/>
          <w:iCs/>
        </w:rPr>
        <w:t>dded</w:t>
      </w:r>
    </w:p>
    <w:p w14:paraId="04933F7A" w14:textId="48586722" w:rsidR="00E5595E" w:rsidRPr="00CC4159" w:rsidRDefault="00E5595E" w:rsidP="009978C3">
      <w:pPr>
        <w:pStyle w:val="ListParagraph"/>
        <w:spacing w:after="0" w:line="240" w:lineRule="auto"/>
        <w:ind w:left="0"/>
        <w:jc w:val="both"/>
        <w:rPr>
          <w:rFonts w:cstheme="minorHAnsi"/>
          <w:bCs/>
          <w:i/>
          <w:iCs/>
        </w:rPr>
      </w:pPr>
      <w:r w:rsidRPr="00CC4159">
        <w:rPr>
          <w:rFonts w:cstheme="minorHAnsi"/>
          <w:bCs/>
          <w:u w:val="single"/>
        </w:rPr>
        <w:t xml:space="preserve">Olanzapine, IM: </w:t>
      </w:r>
      <w:r w:rsidRPr="00CC4159">
        <w:rPr>
          <w:rFonts w:cstheme="minorHAnsi"/>
          <w:bCs/>
          <w:i/>
          <w:iCs/>
        </w:rPr>
        <w:t>added</w:t>
      </w:r>
    </w:p>
    <w:p w14:paraId="15BE8AD9" w14:textId="499EF829" w:rsidR="00CC4159" w:rsidRPr="00CC4159" w:rsidRDefault="00CC4159" w:rsidP="00CC4159">
      <w:pPr>
        <w:pStyle w:val="ListParagraph"/>
        <w:spacing w:after="0" w:line="240" w:lineRule="auto"/>
        <w:ind w:left="0"/>
        <w:jc w:val="both"/>
        <w:rPr>
          <w:rFonts w:cstheme="minorHAnsi"/>
          <w:bCs/>
          <w:i/>
          <w:iCs/>
        </w:rPr>
      </w:pPr>
      <w:r w:rsidRPr="00CC4159">
        <w:rPr>
          <w:rFonts w:cstheme="minorHAnsi"/>
          <w:bCs/>
          <w:u w:val="single"/>
        </w:rPr>
        <w:t>Olanzapine, oral:</w:t>
      </w:r>
      <w:r w:rsidRPr="00CC4159">
        <w:rPr>
          <w:rFonts w:cstheme="minorHAnsi"/>
          <w:bCs/>
          <w:i/>
          <w:iCs/>
        </w:rPr>
        <w:t xml:space="preserve"> added</w:t>
      </w:r>
      <w:r w:rsidRPr="00CC4159">
        <w:rPr>
          <w:rFonts w:cstheme="minorHAnsi"/>
          <w:bCs/>
          <w:i/>
          <w:iCs/>
        </w:rPr>
        <w:t xml:space="preserve"> as follow-on therapy when patient can swallow</w:t>
      </w:r>
    </w:p>
    <w:p w14:paraId="0279569A" w14:textId="18C6AD66" w:rsidR="00CC4159" w:rsidRPr="00CC4159" w:rsidRDefault="00CC4159" w:rsidP="009978C3">
      <w:pPr>
        <w:pStyle w:val="ListParagraph"/>
        <w:spacing w:after="0" w:line="240" w:lineRule="auto"/>
        <w:ind w:left="0"/>
        <w:jc w:val="both"/>
        <w:rPr>
          <w:rFonts w:cstheme="minorHAnsi"/>
          <w:bCs/>
          <w:i/>
          <w:iCs/>
        </w:rPr>
      </w:pPr>
      <w:r w:rsidRPr="00CC4159">
        <w:rPr>
          <w:rFonts w:cstheme="minorHAnsi"/>
          <w:bCs/>
          <w:u w:val="single"/>
        </w:rPr>
        <w:t xml:space="preserve">Haloperidol, oral: </w:t>
      </w:r>
      <w:r w:rsidRPr="00CC4159">
        <w:rPr>
          <w:rFonts w:cstheme="minorHAnsi"/>
          <w:bCs/>
          <w:i/>
          <w:iCs/>
        </w:rPr>
        <w:t>added as follow-on therapy when patient can swallow</w:t>
      </w:r>
    </w:p>
    <w:p w14:paraId="34CCB902" w14:textId="2CBD6742" w:rsidR="00E5595E" w:rsidRDefault="00E5595E" w:rsidP="009978C3">
      <w:pPr>
        <w:pStyle w:val="ListParagraph"/>
        <w:spacing w:after="0" w:line="240" w:lineRule="auto"/>
        <w:ind w:left="0"/>
        <w:jc w:val="both"/>
        <w:rPr>
          <w:rFonts w:cstheme="minorHAnsi"/>
          <w:bCs/>
          <w:u w:val="single"/>
        </w:rPr>
      </w:pPr>
    </w:p>
    <w:p w14:paraId="792F090B" w14:textId="284D3B77" w:rsidR="00E5595E" w:rsidRPr="00431AAC" w:rsidRDefault="00E5595E" w:rsidP="009978C3">
      <w:pPr>
        <w:pStyle w:val="ListParagraph"/>
        <w:spacing w:after="0" w:line="240" w:lineRule="auto"/>
        <w:ind w:left="0"/>
        <w:jc w:val="both"/>
        <w:rPr>
          <w:rFonts w:cstheme="minorHAnsi"/>
          <w:bCs/>
        </w:rPr>
      </w:pPr>
      <w:r w:rsidRPr="00431AAC">
        <w:rPr>
          <w:rFonts w:cstheme="minorHAnsi"/>
          <w:bCs/>
        </w:rPr>
        <w:t>Refer to the medicine review:</w:t>
      </w:r>
    </w:p>
    <w:bookmarkStart w:id="5" w:name="_MON_1728017809"/>
    <w:bookmarkEnd w:id="5"/>
    <w:p w14:paraId="35EF0319" w14:textId="4D0059AB" w:rsidR="00E5595E" w:rsidRDefault="00094B0E" w:rsidP="009978C3">
      <w:pPr>
        <w:pStyle w:val="ListParagraph"/>
        <w:spacing w:after="0" w:line="240" w:lineRule="auto"/>
        <w:ind w:left="0"/>
        <w:jc w:val="both"/>
        <w:rPr>
          <w:rFonts w:cstheme="minorHAnsi"/>
          <w:bCs/>
          <w:u w:val="single"/>
        </w:rPr>
      </w:pPr>
      <w:r w:rsidRPr="00094B0E">
        <w:rPr>
          <w:rFonts w:cstheme="minorHAnsi"/>
          <w:bCs/>
        </w:rPr>
        <w:object w:dxaOrig="1520" w:dyaOrig="985" w14:anchorId="217CC885">
          <v:shape id="_x0000_i1040" type="#_x0000_t75" style="width:76.2pt;height:49.2pt" o:ole="">
            <v:imagedata r:id="rId20" o:title=""/>
          </v:shape>
          <o:OLEObject Type="Embed" ProgID="Word.Document.12" ShapeID="_x0000_i1040" DrawAspect="Icon" ObjectID="_1728018821" r:id="rId21">
            <o:FieldCodes>\s</o:FieldCodes>
          </o:OLEObject>
        </w:object>
      </w:r>
    </w:p>
    <w:p w14:paraId="36912D50" w14:textId="1D3D13EC" w:rsidR="00EC5532" w:rsidRPr="00D06858" w:rsidRDefault="00EC5532" w:rsidP="00FA180A">
      <w:pPr>
        <w:spacing w:after="0" w:line="240" w:lineRule="auto"/>
        <w:jc w:val="both"/>
        <w:rPr>
          <w:rFonts w:ascii="Calibri" w:eastAsia="Calibri" w:hAnsi="Calibri" w:cs="Calibri"/>
          <w:color w:val="FF0000"/>
        </w:rPr>
      </w:pPr>
      <w:r w:rsidRPr="00D06858">
        <w:rPr>
          <w:rFonts w:cstheme="minorHAnsi"/>
          <w:b/>
          <w:spacing w:val="-2"/>
        </w:rPr>
        <w:t xml:space="preserve">Recommendation: </w:t>
      </w:r>
      <w:r w:rsidRPr="0087696D">
        <w:rPr>
          <w:rFonts w:cstheme="minorHAnsi"/>
          <w:bCs/>
          <w:spacing w:val="-2"/>
        </w:rPr>
        <w:t>The PHC/ Adult Hospital Level Committee suggest</w:t>
      </w:r>
      <w:r w:rsidRPr="001D7349">
        <w:rPr>
          <w:rFonts w:cstheme="minorHAnsi"/>
          <w:bCs/>
          <w:spacing w:val="-2"/>
        </w:rPr>
        <w:t>s</w:t>
      </w:r>
      <w:r w:rsidRPr="0087696D">
        <w:rPr>
          <w:rFonts w:cstheme="minorHAnsi"/>
          <w:bCs/>
          <w:spacing w:val="-2"/>
        </w:rPr>
        <w:t xml:space="preserve"> </w:t>
      </w:r>
      <w:r w:rsidRPr="001D7349">
        <w:rPr>
          <w:rFonts w:cstheme="minorHAnsi"/>
          <w:bCs/>
          <w:spacing w:val="-2"/>
        </w:rPr>
        <w:t>using</w:t>
      </w:r>
      <w:r w:rsidRPr="0087696D">
        <w:rPr>
          <w:rFonts w:cstheme="minorHAnsi"/>
          <w:bCs/>
          <w:spacing w:val="-2"/>
        </w:rPr>
        <w:t xml:space="preserve"> olanzapine (</w:t>
      </w:r>
      <w:r w:rsidR="00562785">
        <w:rPr>
          <w:rFonts w:cstheme="minorHAnsi"/>
          <w:bCs/>
          <w:spacing w:val="-2"/>
        </w:rPr>
        <w:t>oral, orodispersible and parenteral</w:t>
      </w:r>
      <w:r w:rsidR="00562785" w:rsidRPr="0087696D">
        <w:rPr>
          <w:rFonts w:cstheme="minorHAnsi"/>
          <w:bCs/>
          <w:spacing w:val="-2"/>
        </w:rPr>
        <w:t xml:space="preserve"> </w:t>
      </w:r>
      <w:r w:rsidRPr="0087696D">
        <w:rPr>
          <w:rFonts w:cstheme="minorHAnsi"/>
          <w:bCs/>
          <w:spacing w:val="-2"/>
        </w:rPr>
        <w:t>formulations)</w:t>
      </w:r>
      <w:r w:rsidRPr="001D7349">
        <w:rPr>
          <w:rFonts w:cstheme="minorHAnsi"/>
          <w:bCs/>
          <w:spacing w:val="-2"/>
        </w:rPr>
        <w:t xml:space="preserve"> as an option to manage delirium where non-pharmacological management is not sufficient</w:t>
      </w:r>
      <w:r>
        <w:rPr>
          <w:rFonts w:cstheme="minorHAnsi"/>
          <w:bCs/>
          <w:spacing w:val="-2"/>
        </w:rPr>
        <w:t xml:space="preserve"> </w:t>
      </w:r>
      <w:r w:rsidRPr="00562785">
        <w:rPr>
          <w:rFonts w:cstheme="minorHAnsi"/>
          <w:bCs/>
          <w:i/>
          <w:iCs/>
          <w:spacing w:val="-2"/>
        </w:rPr>
        <w:t>(conditional recommendation)</w:t>
      </w:r>
      <w:r w:rsidR="00562785" w:rsidRPr="00562785">
        <w:rPr>
          <w:rFonts w:cstheme="minorHAnsi"/>
          <w:bCs/>
          <w:i/>
          <w:iCs/>
          <w:spacing w:val="-2"/>
        </w:rPr>
        <w:t>.</w:t>
      </w:r>
    </w:p>
    <w:p w14:paraId="7A842170" w14:textId="3E08461D" w:rsidR="00EC5532" w:rsidRPr="00215C08" w:rsidRDefault="00EC5532" w:rsidP="00FA180A">
      <w:pPr>
        <w:spacing w:after="0" w:line="240" w:lineRule="auto"/>
        <w:jc w:val="both"/>
        <w:rPr>
          <w:rFonts w:cstheme="minorHAnsi"/>
          <w:iCs/>
          <w:spacing w:val="-2"/>
        </w:rPr>
      </w:pPr>
      <w:r w:rsidRPr="00215C08">
        <w:rPr>
          <w:rFonts w:cstheme="minorHAnsi"/>
          <w:i/>
          <w:spacing w:val="-2"/>
        </w:rPr>
        <w:t xml:space="preserve">Rationale: </w:t>
      </w:r>
      <w:r w:rsidRPr="00215C08">
        <w:rPr>
          <w:rFonts w:cstheme="minorHAnsi"/>
          <w:iCs/>
          <w:spacing w:val="-2"/>
        </w:rPr>
        <w:t>Available low-quality evidence shows that haloperidol is comparable to olanzapine</w:t>
      </w:r>
      <w:r w:rsidR="00562785">
        <w:rPr>
          <w:rFonts w:cstheme="minorHAnsi"/>
          <w:iCs/>
          <w:spacing w:val="-2"/>
        </w:rPr>
        <w:t>.</w:t>
      </w:r>
    </w:p>
    <w:p w14:paraId="3A03BB8D" w14:textId="77777777" w:rsidR="00EC5532" w:rsidRPr="00D06858" w:rsidRDefault="00EC5532" w:rsidP="00FA180A">
      <w:pPr>
        <w:spacing w:after="0" w:line="240" w:lineRule="auto"/>
        <w:rPr>
          <w:rFonts w:cstheme="minorHAnsi"/>
        </w:rPr>
      </w:pPr>
      <w:r w:rsidRPr="00D06858">
        <w:rPr>
          <w:rFonts w:cstheme="minorHAnsi"/>
          <w:b/>
          <w:spacing w:val="-2"/>
        </w:rPr>
        <w:t>Level of Evidence:</w:t>
      </w:r>
      <w:r w:rsidRPr="00D06858">
        <w:rPr>
          <w:rFonts w:cstheme="minorHAnsi"/>
          <w:b/>
        </w:rPr>
        <w:t xml:space="preserve"> </w:t>
      </w:r>
      <w:r>
        <w:rPr>
          <w:rFonts w:cstheme="minorHAnsi"/>
          <w:b/>
        </w:rPr>
        <w:t>Low to very low certainty evidence</w:t>
      </w:r>
      <w:r w:rsidRPr="00D06858">
        <w:rPr>
          <w:rFonts w:cstheme="minorHAnsi"/>
          <w:b/>
        </w:rPr>
        <w:t xml:space="preserve"> </w:t>
      </w:r>
    </w:p>
    <w:p w14:paraId="1C9EE37E" w14:textId="11C66F29" w:rsidR="00E5595E" w:rsidRDefault="00EC5532" w:rsidP="009978C3">
      <w:pPr>
        <w:pStyle w:val="ListParagraph"/>
        <w:spacing w:after="0" w:line="240" w:lineRule="auto"/>
        <w:ind w:left="0"/>
        <w:jc w:val="both"/>
        <w:rPr>
          <w:rFonts w:cstheme="minorHAnsi"/>
          <w:bCs/>
          <w:spacing w:val="-2"/>
        </w:rPr>
      </w:pPr>
      <w:r w:rsidRPr="00D06858">
        <w:rPr>
          <w:rFonts w:cstheme="minorHAnsi"/>
          <w:b/>
        </w:rPr>
        <w:t xml:space="preserve">Review indicator: </w:t>
      </w:r>
      <w:r>
        <w:rPr>
          <w:rFonts w:cstheme="minorHAnsi"/>
          <w:bCs/>
        </w:rPr>
        <w:t>Evidence of harm, efficacy</w:t>
      </w:r>
    </w:p>
    <w:tbl>
      <w:tblPr>
        <w:tblStyle w:val="TableGrid"/>
        <w:tblW w:w="0" w:type="auto"/>
        <w:tblLook w:val="04A0" w:firstRow="1" w:lastRow="0" w:firstColumn="1" w:lastColumn="0" w:noHBand="0" w:noVBand="1"/>
      </w:tblPr>
      <w:tblGrid>
        <w:gridCol w:w="10456"/>
      </w:tblGrid>
      <w:tr w:rsidR="00094B0E" w14:paraId="6221B846" w14:textId="77777777" w:rsidTr="00094B0E">
        <w:tc>
          <w:tcPr>
            <w:tcW w:w="10456" w:type="dxa"/>
          </w:tcPr>
          <w:p w14:paraId="3266A41E" w14:textId="77777777" w:rsidR="00094B0E" w:rsidRDefault="00094B0E" w:rsidP="00094B0E">
            <w:pPr>
              <w:jc w:val="both"/>
              <w:rPr>
                <w:rFonts w:cstheme="minorHAnsi"/>
                <w:b/>
                <w:color w:val="FF0000"/>
                <w:spacing w:val="-2"/>
                <w:sz w:val="24"/>
                <w:szCs w:val="24"/>
                <w:u w:val="single"/>
              </w:rPr>
            </w:pPr>
            <w:r w:rsidRPr="00D06858">
              <w:rPr>
                <w:rFonts w:cstheme="minorHAnsi"/>
                <w:b/>
                <w:color w:val="FF0000"/>
                <w:spacing w:val="-2"/>
                <w:sz w:val="24"/>
                <w:szCs w:val="24"/>
                <w:u w:val="single"/>
              </w:rPr>
              <w:t>NEMLC RECOMMENDATION (</w:t>
            </w:r>
            <w:r>
              <w:rPr>
                <w:rFonts w:cstheme="minorHAnsi"/>
                <w:b/>
                <w:color w:val="FF0000"/>
                <w:spacing w:val="-2"/>
                <w:sz w:val="24"/>
                <w:szCs w:val="24"/>
                <w:u w:val="single"/>
              </w:rPr>
              <w:t>20 OCTOBER 2022</w:t>
            </w:r>
            <w:r w:rsidRPr="00D06858">
              <w:rPr>
                <w:rFonts w:cstheme="minorHAnsi"/>
                <w:b/>
                <w:color w:val="FF0000"/>
                <w:spacing w:val="-2"/>
                <w:sz w:val="24"/>
                <w:szCs w:val="24"/>
                <w:u w:val="single"/>
              </w:rPr>
              <w:t xml:space="preserve"> MEETING):</w:t>
            </w:r>
          </w:p>
          <w:p w14:paraId="26B2EBEA" w14:textId="77777777" w:rsidR="00094B0E" w:rsidRDefault="00094B0E" w:rsidP="00094B0E">
            <w:pPr>
              <w:jc w:val="both"/>
              <w:rPr>
                <w:rFonts w:cstheme="minorHAnsi"/>
                <w:bCs/>
                <w:color w:val="FF0000"/>
                <w:spacing w:val="-2"/>
              </w:rPr>
            </w:pPr>
            <w:r>
              <w:rPr>
                <w:rFonts w:cstheme="minorHAnsi"/>
                <w:bCs/>
                <w:color w:val="FF0000"/>
                <w:spacing w:val="-2"/>
              </w:rPr>
              <w:t xml:space="preserve">The NEMLC considered the recommendation, as proposed by the PHC/Adult Hospital Level Committee and concerns were raised regarding the feasibility of administering medication via NGT to a patient with delirium. Alternative agents were also discussed, noting the reported paucity of evidence for clotiapine and the safety concerns of droperidol (QT-prolongation). </w:t>
            </w:r>
          </w:p>
          <w:p w14:paraId="19B58C7F" w14:textId="0B52E619" w:rsidR="00094B0E" w:rsidRDefault="00094B0E" w:rsidP="009978C3">
            <w:pPr>
              <w:pStyle w:val="ListParagraph"/>
              <w:ind w:left="0"/>
              <w:jc w:val="both"/>
              <w:rPr>
                <w:rFonts w:cstheme="minorHAnsi"/>
                <w:bCs/>
                <w:u w:val="single"/>
              </w:rPr>
            </w:pPr>
            <w:r>
              <w:rPr>
                <w:rFonts w:cstheme="minorHAnsi"/>
                <w:bCs/>
                <w:color w:val="FF0000"/>
                <w:spacing w:val="-2"/>
              </w:rPr>
              <w:t xml:space="preserve">NEMLC recommended </w:t>
            </w:r>
            <w:r w:rsidRPr="005E0C5C">
              <w:rPr>
                <w:rFonts w:cstheme="minorHAnsi"/>
                <w:bCs/>
                <w:color w:val="FF0000"/>
                <w:spacing w:val="-2"/>
              </w:rPr>
              <w:t xml:space="preserve">olanzapine oro-dispersible tablet or IM </w:t>
            </w:r>
            <w:r>
              <w:rPr>
                <w:rFonts w:cstheme="minorHAnsi"/>
                <w:bCs/>
                <w:color w:val="FF0000"/>
                <w:spacing w:val="-2"/>
              </w:rPr>
              <w:t>for</w:t>
            </w:r>
            <w:r w:rsidRPr="005E0C5C">
              <w:rPr>
                <w:rFonts w:cstheme="minorHAnsi"/>
                <w:bCs/>
                <w:color w:val="FF0000"/>
                <w:spacing w:val="-2"/>
              </w:rPr>
              <w:t xml:space="preserve"> delirium with agitated and acutely disturbed behaviour </w:t>
            </w:r>
            <w:r w:rsidRPr="00897BB2">
              <w:rPr>
                <w:rFonts w:cstheme="minorHAnsi"/>
                <w:bCs/>
                <w:color w:val="FF0000"/>
                <w:spacing w:val="-2"/>
              </w:rPr>
              <w:t xml:space="preserve">Once </w:t>
            </w:r>
            <w:r>
              <w:rPr>
                <w:rFonts w:cstheme="minorHAnsi"/>
                <w:bCs/>
                <w:color w:val="FF0000"/>
                <w:spacing w:val="-2"/>
              </w:rPr>
              <w:t xml:space="preserve">the patient is </w:t>
            </w:r>
            <w:r w:rsidRPr="00897BB2">
              <w:rPr>
                <w:rFonts w:cstheme="minorHAnsi"/>
                <w:bCs/>
                <w:color w:val="FF0000"/>
                <w:spacing w:val="-2"/>
              </w:rPr>
              <w:t xml:space="preserve">able to swallow, </w:t>
            </w:r>
            <w:r>
              <w:rPr>
                <w:rFonts w:cstheme="minorHAnsi"/>
                <w:bCs/>
                <w:color w:val="FF0000"/>
                <w:spacing w:val="-2"/>
              </w:rPr>
              <w:t xml:space="preserve">to </w:t>
            </w:r>
            <w:r w:rsidRPr="00897BB2">
              <w:rPr>
                <w:rFonts w:cstheme="minorHAnsi"/>
                <w:bCs/>
                <w:color w:val="FF0000"/>
                <w:spacing w:val="-2"/>
              </w:rPr>
              <w:t xml:space="preserve">continue with oral </w:t>
            </w:r>
            <w:r>
              <w:rPr>
                <w:rFonts w:cstheme="minorHAnsi"/>
                <w:bCs/>
                <w:color w:val="FF0000"/>
                <w:spacing w:val="-2"/>
              </w:rPr>
              <w:t xml:space="preserve">haloperidol or olanzapine, </w:t>
            </w:r>
            <w:r w:rsidRPr="00897BB2">
              <w:rPr>
                <w:rFonts w:cstheme="minorHAnsi"/>
                <w:bCs/>
                <w:color w:val="FF0000"/>
                <w:spacing w:val="-2"/>
              </w:rPr>
              <w:t xml:space="preserve">until behaviour </w:t>
            </w:r>
            <w:r>
              <w:rPr>
                <w:rFonts w:cstheme="minorHAnsi"/>
                <w:bCs/>
                <w:color w:val="FF0000"/>
                <w:spacing w:val="-2"/>
              </w:rPr>
              <w:t xml:space="preserve">is </w:t>
            </w:r>
            <w:r w:rsidRPr="00897BB2">
              <w:rPr>
                <w:rFonts w:cstheme="minorHAnsi"/>
                <w:bCs/>
                <w:color w:val="FF0000"/>
                <w:spacing w:val="-2"/>
              </w:rPr>
              <w:t>contained</w:t>
            </w:r>
            <w:r>
              <w:rPr>
                <w:rFonts w:cstheme="minorHAnsi"/>
                <w:bCs/>
                <w:color w:val="FF0000"/>
                <w:spacing w:val="-2"/>
              </w:rPr>
              <w:t>.</w:t>
            </w:r>
          </w:p>
        </w:tc>
      </w:tr>
    </w:tbl>
    <w:p w14:paraId="04A33411" w14:textId="77777777" w:rsidR="00EC5532" w:rsidRDefault="00EC5532" w:rsidP="009978C3">
      <w:pPr>
        <w:pStyle w:val="ListParagraph"/>
        <w:spacing w:after="0" w:line="240" w:lineRule="auto"/>
        <w:ind w:left="0"/>
        <w:jc w:val="both"/>
        <w:rPr>
          <w:rFonts w:cstheme="minorHAnsi"/>
          <w:bCs/>
          <w:u w:val="single"/>
        </w:rPr>
      </w:pPr>
    </w:p>
    <w:p w14:paraId="53000E37" w14:textId="29340D95" w:rsidR="00E5595E" w:rsidRPr="00E92024" w:rsidRDefault="00E92024" w:rsidP="009978C3">
      <w:pPr>
        <w:pStyle w:val="ListParagraph"/>
        <w:spacing w:after="0" w:line="240" w:lineRule="auto"/>
        <w:ind w:left="0"/>
        <w:jc w:val="both"/>
        <w:rPr>
          <w:rFonts w:cstheme="minorHAnsi"/>
          <w:b/>
        </w:rPr>
      </w:pPr>
      <w:r w:rsidRPr="00E5595E">
        <w:rPr>
          <w:rFonts w:cstheme="minorHAnsi"/>
          <w:b/>
        </w:rPr>
        <w:t>Acute management</w:t>
      </w:r>
      <w:r>
        <w:rPr>
          <w:rFonts w:cstheme="minorHAnsi"/>
          <w:b/>
        </w:rPr>
        <w:t xml:space="preserve">: </w:t>
      </w:r>
      <w:r w:rsidRPr="00E92024">
        <w:rPr>
          <w:rFonts w:cstheme="minorHAnsi"/>
          <w:b/>
        </w:rPr>
        <w:t>For substance withdrawal, Parkinson’s disease, or intolerability to olanzapine</w:t>
      </w:r>
    </w:p>
    <w:p w14:paraId="346E8BFA" w14:textId="7BBA001D" w:rsidR="00F14C59" w:rsidRPr="00F14C59" w:rsidRDefault="00F14C59" w:rsidP="00F14C59">
      <w:pPr>
        <w:pStyle w:val="ListParagraph"/>
        <w:spacing w:after="0" w:line="240" w:lineRule="auto"/>
        <w:ind w:left="0"/>
        <w:jc w:val="both"/>
        <w:rPr>
          <w:rFonts w:cstheme="minorHAnsi"/>
          <w:bCs/>
          <w:i/>
          <w:iCs/>
        </w:rPr>
      </w:pPr>
      <w:r w:rsidRPr="00F14C59">
        <w:rPr>
          <w:rFonts w:cstheme="minorHAnsi"/>
          <w:bCs/>
          <w:u w:val="single"/>
        </w:rPr>
        <w:t xml:space="preserve">Diazepam, IV: </w:t>
      </w:r>
      <w:r>
        <w:rPr>
          <w:rFonts w:cstheme="minorHAnsi"/>
          <w:bCs/>
          <w:i/>
          <w:iCs/>
        </w:rPr>
        <w:t>a</w:t>
      </w:r>
      <w:r w:rsidRPr="00F14C59">
        <w:rPr>
          <w:rFonts w:cstheme="minorHAnsi"/>
          <w:bCs/>
          <w:i/>
          <w:iCs/>
        </w:rPr>
        <w:t>mended – directions for use</w:t>
      </w:r>
    </w:p>
    <w:p w14:paraId="2DA58BCD" w14:textId="2F18588C" w:rsidR="00F14C59" w:rsidRPr="00F14C59" w:rsidRDefault="00F14C59" w:rsidP="00F14C59">
      <w:pPr>
        <w:pStyle w:val="ListParagraph"/>
        <w:spacing w:after="0" w:line="240" w:lineRule="auto"/>
        <w:ind w:left="0"/>
        <w:jc w:val="both"/>
        <w:rPr>
          <w:rFonts w:cstheme="minorHAnsi"/>
          <w:bCs/>
        </w:rPr>
      </w:pPr>
      <w:r w:rsidRPr="00F14C59">
        <w:rPr>
          <w:rFonts w:cstheme="minorHAnsi"/>
          <w:bCs/>
        </w:rPr>
        <w:t>Guidance pertaining to dosing in the elderly, “</w:t>
      </w:r>
      <w:r w:rsidRPr="00F14C59">
        <w:rPr>
          <w:rFonts w:cstheme="minorHAnsi"/>
          <w:i/>
          <w:iCs/>
          <w:color w:val="000000"/>
          <w:lang w:val="en-GB"/>
        </w:rPr>
        <w:t>In elderly, a starting dose of 2mg is recommended</w:t>
      </w:r>
      <w:r w:rsidRPr="00F14C59">
        <w:rPr>
          <w:rFonts w:cstheme="minorHAnsi"/>
          <w:color w:val="000000"/>
          <w:lang w:val="en-GB"/>
        </w:rPr>
        <w:t xml:space="preserve">”, was added aligned to SAMF 2022 and Maudsley </w:t>
      </w:r>
      <w:r>
        <w:rPr>
          <w:rFonts w:cstheme="minorHAnsi"/>
          <w:color w:val="000000"/>
          <w:lang w:val="en-GB"/>
        </w:rPr>
        <w:t>Prescribing Guidelines, 13</w:t>
      </w:r>
      <w:r w:rsidRPr="00F14C59">
        <w:rPr>
          <w:rFonts w:cstheme="minorHAnsi"/>
          <w:color w:val="000000"/>
          <w:vertAlign w:val="superscript"/>
          <w:lang w:val="en-GB"/>
        </w:rPr>
        <w:t>th</w:t>
      </w:r>
      <w:r>
        <w:rPr>
          <w:rFonts w:cstheme="minorHAnsi"/>
          <w:color w:val="000000"/>
          <w:lang w:val="en-GB"/>
        </w:rPr>
        <w:t xml:space="preserve"> edition.</w:t>
      </w:r>
    </w:p>
    <w:p w14:paraId="0E6AB2E6" w14:textId="33871C0E" w:rsidR="00F14C59" w:rsidRPr="00F14C59" w:rsidRDefault="00F14C59" w:rsidP="009978C3">
      <w:pPr>
        <w:pStyle w:val="ListParagraph"/>
        <w:spacing w:after="0" w:line="240" w:lineRule="auto"/>
        <w:ind w:left="0"/>
        <w:jc w:val="both"/>
        <w:rPr>
          <w:rFonts w:cstheme="minorHAnsi"/>
          <w:b/>
        </w:rPr>
      </w:pPr>
      <w:r w:rsidRPr="00F14C59">
        <w:rPr>
          <w:rFonts w:cstheme="minorHAnsi"/>
          <w:b/>
        </w:rPr>
        <w:t>Level of Evidence: Guidelines</w:t>
      </w:r>
    </w:p>
    <w:p w14:paraId="1E2E5904" w14:textId="73A26F06" w:rsidR="000A2074" w:rsidRDefault="000A2074" w:rsidP="009978C3">
      <w:pPr>
        <w:pStyle w:val="ListParagraph"/>
        <w:spacing w:after="0" w:line="240" w:lineRule="auto"/>
        <w:ind w:left="0"/>
        <w:jc w:val="both"/>
        <w:rPr>
          <w:rFonts w:cstheme="minorHAnsi"/>
          <w:b/>
        </w:rPr>
      </w:pPr>
    </w:p>
    <w:p w14:paraId="68B4C883" w14:textId="39A84412" w:rsidR="000A2074" w:rsidRPr="003F14C9" w:rsidRDefault="00DF592A" w:rsidP="009978C3">
      <w:pPr>
        <w:pStyle w:val="ListParagraph"/>
        <w:spacing w:after="0" w:line="240" w:lineRule="auto"/>
        <w:ind w:left="0"/>
        <w:jc w:val="both"/>
        <w:rPr>
          <w:rFonts w:cstheme="minorHAnsi"/>
          <w:b/>
        </w:rPr>
      </w:pPr>
      <w:r w:rsidRPr="00DF592A">
        <w:rPr>
          <w:rFonts w:cstheme="minorHAnsi"/>
          <w:b/>
        </w:rPr>
        <w:t>If alcohol withdrawal/ Wernicke’s encephalopathy suspected</w:t>
      </w:r>
    </w:p>
    <w:p w14:paraId="176C16A1" w14:textId="77777777" w:rsidR="00B14757" w:rsidRDefault="00B14757" w:rsidP="00B14757">
      <w:pPr>
        <w:pStyle w:val="ListParagraph"/>
        <w:spacing w:after="0" w:line="240" w:lineRule="auto"/>
        <w:ind w:left="0"/>
        <w:jc w:val="both"/>
        <w:rPr>
          <w:rFonts w:cstheme="minorHAnsi"/>
          <w:iCs/>
        </w:rPr>
      </w:pPr>
      <w:r>
        <w:rPr>
          <w:rFonts w:cstheme="minorHAnsi"/>
        </w:rPr>
        <w:t>Aligned with NEMLC-approved PHC emergencies and injuries chapter</w:t>
      </w:r>
      <w:r>
        <w:rPr>
          <w:rStyle w:val="FootnoteReference"/>
          <w:rFonts w:cstheme="minorHAnsi"/>
        </w:rPr>
        <w:footnoteReference w:id="17"/>
      </w:r>
      <w:r>
        <w:rPr>
          <w:rFonts w:cstheme="minorHAnsi"/>
          <w:iCs/>
        </w:rPr>
        <w:t>– see below:</w:t>
      </w:r>
    </w:p>
    <w:p w14:paraId="0E0AF238" w14:textId="6FE58563" w:rsidR="00A72B8E" w:rsidRDefault="00465ED0" w:rsidP="009978C3">
      <w:pPr>
        <w:pStyle w:val="ListParagraph"/>
        <w:spacing w:after="0" w:line="240" w:lineRule="auto"/>
        <w:ind w:left="0"/>
        <w:jc w:val="both"/>
        <w:rPr>
          <w:rFonts w:cstheme="minorHAnsi"/>
          <w:i/>
        </w:rPr>
      </w:pPr>
      <w:r>
        <w:rPr>
          <w:rFonts w:cstheme="minorHAnsi"/>
          <w:u w:val="single"/>
        </w:rPr>
        <w:t xml:space="preserve">Thiamine, </w:t>
      </w:r>
      <w:r w:rsidR="00F36A37">
        <w:rPr>
          <w:rFonts w:cstheme="minorHAnsi"/>
          <w:u w:val="single"/>
        </w:rPr>
        <w:t>parenteral</w:t>
      </w:r>
      <w:r w:rsidR="009978C3" w:rsidRPr="00CD7A11">
        <w:rPr>
          <w:rFonts w:cstheme="minorHAnsi"/>
          <w:u w:val="single"/>
        </w:rPr>
        <w:t>:</w:t>
      </w:r>
      <w:r w:rsidR="009978C3" w:rsidRPr="00CD7A11">
        <w:rPr>
          <w:rFonts w:cstheme="minorHAnsi"/>
        </w:rPr>
        <w:t xml:space="preserve"> </w:t>
      </w:r>
      <w:r w:rsidR="003B01B0">
        <w:rPr>
          <w:rFonts w:cstheme="minorHAnsi"/>
          <w:i/>
        </w:rPr>
        <w:t>dose</w:t>
      </w:r>
      <w:r w:rsidR="00F36A37">
        <w:rPr>
          <w:rFonts w:cstheme="minorHAnsi"/>
          <w:i/>
        </w:rPr>
        <w:t xml:space="preserve"> &amp; route of administration amended </w:t>
      </w:r>
    </w:p>
    <w:p w14:paraId="6D3E199A" w14:textId="77777777" w:rsidR="00F61BA0" w:rsidRPr="00F61BA0" w:rsidRDefault="00F61BA0" w:rsidP="009978C3">
      <w:pPr>
        <w:pStyle w:val="ListParagraph"/>
        <w:spacing w:after="0" w:line="240" w:lineRule="auto"/>
        <w:ind w:left="0"/>
        <w:jc w:val="both"/>
        <w:rPr>
          <w:rFonts w:cstheme="minorHAnsi"/>
          <w:iCs/>
        </w:rPr>
      </w:pPr>
    </w:p>
    <w:tbl>
      <w:tblPr>
        <w:tblStyle w:val="TableGrid"/>
        <w:tblW w:w="0" w:type="auto"/>
        <w:tblLook w:val="04A0" w:firstRow="1" w:lastRow="0" w:firstColumn="1" w:lastColumn="0" w:noHBand="0" w:noVBand="1"/>
      </w:tblPr>
      <w:tblGrid>
        <w:gridCol w:w="10456"/>
      </w:tblGrid>
      <w:tr w:rsidR="00F61BA0" w:rsidRPr="00F61BA0" w14:paraId="7AD92FAA" w14:textId="77777777" w:rsidTr="00F61BA0">
        <w:trPr>
          <w:trHeight w:val="3843"/>
        </w:trPr>
        <w:tc>
          <w:tcPr>
            <w:tcW w:w="10456" w:type="dxa"/>
          </w:tcPr>
          <w:p w14:paraId="0159A0D1" w14:textId="6BAD28E2" w:rsidR="00F61BA0" w:rsidRPr="00F61BA0" w:rsidRDefault="00F61BA0" w:rsidP="00F61BA0">
            <w:pPr>
              <w:pStyle w:val="ListParagraph"/>
              <w:ind w:left="0"/>
              <w:jc w:val="both"/>
              <w:rPr>
                <w:rFonts w:cstheme="minorHAnsi"/>
                <w:b/>
                <w:bCs/>
                <w:i/>
                <w:iCs/>
                <w:color w:val="FF0000"/>
                <w:u w:val="single"/>
              </w:rPr>
            </w:pPr>
            <w:r w:rsidRPr="00F61BA0">
              <w:rPr>
                <w:rFonts w:cstheme="minorHAnsi"/>
                <w:b/>
                <w:bCs/>
                <w:i/>
                <w:iCs/>
                <w:color w:val="FF0000"/>
                <w:u w:val="single"/>
              </w:rPr>
              <w:lastRenderedPageBreak/>
              <w:t xml:space="preserve">NEMLC report for the PHC emergencies chapter &amp; respective NEMLC </w:t>
            </w:r>
            <w:r w:rsidR="00DC2546">
              <w:rPr>
                <w:rFonts w:cstheme="minorHAnsi"/>
                <w:b/>
                <w:bCs/>
                <w:i/>
                <w:iCs/>
                <w:color w:val="FF0000"/>
                <w:u w:val="single"/>
              </w:rPr>
              <w:t>recommendation</w:t>
            </w:r>
            <w:r w:rsidR="00B14757" w:rsidRPr="00F61BA0">
              <w:rPr>
                <w:rFonts w:cstheme="minorHAnsi"/>
                <w:b/>
                <w:bCs/>
                <w:i/>
                <w:iCs/>
                <w:color w:val="FF0000"/>
                <w:u w:val="single"/>
              </w:rPr>
              <w:t xml:space="preserve"> </w:t>
            </w:r>
            <w:r w:rsidRPr="00F61BA0">
              <w:rPr>
                <w:rFonts w:cstheme="minorHAnsi"/>
                <w:b/>
                <w:bCs/>
                <w:i/>
                <w:iCs/>
                <w:color w:val="FF0000"/>
                <w:u w:val="single"/>
              </w:rPr>
              <w:t>(Meeting of 23 June 2022)</w:t>
            </w:r>
          </w:p>
          <w:p w14:paraId="0FA39C5B" w14:textId="767BAAF0" w:rsidR="00F61BA0" w:rsidRPr="00F61BA0" w:rsidRDefault="00F61BA0" w:rsidP="00F61BA0">
            <w:pPr>
              <w:pStyle w:val="ListParagraph"/>
              <w:ind w:left="0"/>
              <w:jc w:val="both"/>
              <w:rPr>
                <w:rFonts w:cstheme="minorHAnsi"/>
                <w:i/>
                <w:iCs/>
                <w:color w:val="FF0000"/>
              </w:rPr>
            </w:pPr>
            <w:r w:rsidRPr="00F61BA0">
              <w:rPr>
                <w:rFonts w:cstheme="minorHAnsi"/>
                <w:i/>
                <w:iCs/>
                <w:color w:val="FF0000"/>
              </w:rPr>
              <w:t>Refer to the evidence summary:</w:t>
            </w:r>
          </w:p>
          <w:p w14:paraId="12B21857" w14:textId="77777777" w:rsidR="00F61BA0" w:rsidRPr="00F61BA0" w:rsidRDefault="00F61BA0" w:rsidP="00F61BA0">
            <w:pPr>
              <w:pStyle w:val="ListParagraph"/>
              <w:ind w:left="0"/>
              <w:jc w:val="both"/>
              <w:rPr>
                <w:rFonts w:cstheme="minorHAnsi"/>
                <w:i/>
                <w:iCs/>
                <w:color w:val="FF0000"/>
              </w:rPr>
            </w:pPr>
            <w:r w:rsidRPr="00F61BA0">
              <w:rPr>
                <w:rFonts w:cstheme="minorHAnsi"/>
                <w:i/>
                <w:iCs/>
                <w:color w:val="FF0000"/>
              </w:rPr>
              <w:object w:dxaOrig="1543" w:dyaOrig="991" w14:anchorId="19DEB3C7">
                <v:shape id="_x0000_i1029" type="#_x0000_t75" style="width:77.4pt;height:49.8pt" o:ole="">
                  <v:imagedata r:id="rId22" o:title=""/>
                </v:shape>
                <o:OLEObject Type="Embed" ProgID="Word.Document.12" ShapeID="_x0000_i1029" DrawAspect="Icon" ObjectID="_1728018822" r:id="rId23">
                  <o:FieldCodes>\s</o:FieldCodes>
                </o:OLEObject>
              </w:object>
            </w:r>
          </w:p>
          <w:p w14:paraId="555C8DCE" w14:textId="77777777" w:rsidR="00F61BA0" w:rsidRPr="00F61BA0" w:rsidRDefault="00F61BA0" w:rsidP="00F61BA0">
            <w:pPr>
              <w:pStyle w:val="ListParagraph"/>
              <w:widowControl w:val="0"/>
              <w:numPr>
                <w:ilvl w:val="0"/>
                <w:numId w:val="14"/>
              </w:numPr>
              <w:autoSpaceDE w:val="0"/>
              <w:autoSpaceDN w:val="0"/>
              <w:adjustRightInd w:val="0"/>
              <w:spacing w:after="240"/>
              <w:jc w:val="both"/>
              <w:rPr>
                <w:rFonts w:cstheme="minorHAnsi"/>
                <w:i/>
                <w:iCs/>
                <w:color w:val="FF0000"/>
              </w:rPr>
            </w:pPr>
            <w:r w:rsidRPr="00F61BA0">
              <w:rPr>
                <w:rFonts w:cstheme="minorHAnsi"/>
                <w:bCs/>
                <w:i/>
                <w:iCs/>
                <w:color w:val="FF0000"/>
              </w:rPr>
              <w:t xml:space="preserve">Thiamine dose: There is limited evidence - a </w:t>
            </w:r>
            <w:r w:rsidRPr="00F61BA0">
              <w:rPr>
                <w:rFonts w:cstheme="minorHAnsi"/>
                <w:i/>
                <w:iCs/>
                <w:color w:val="FF0000"/>
              </w:rPr>
              <w:t>Cochrane review</w:t>
            </w:r>
            <w:r w:rsidRPr="00F61BA0">
              <w:rPr>
                <w:rStyle w:val="FootnoteReference"/>
                <w:rFonts w:cstheme="minorHAnsi"/>
                <w:i/>
                <w:iCs/>
                <w:color w:val="FF0000"/>
              </w:rPr>
              <w:footnoteReference w:id="18"/>
            </w:r>
            <w:r w:rsidRPr="00F61BA0">
              <w:rPr>
                <w:rFonts w:cstheme="minorHAnsi"/>
                <w:i/>
                <w:iCs/>
                <w:color w:val="FF0000"/>
              </w:rPr>
              <w:t xml:space="preserve"> reviewed one RCT (n=169)</w:t>
            </w:r>
            <w:r w:rsidRPr="00F61BA0">
              <w:rPr>
                <w:rStyle w:val="FootnoteReference"/>
                <w:rFonts w:cstheme="minorHAnsi"/>
                <w:i/>
                <w:iCs/>
                <w:color w:val="FF0000"/>
              </w:rPr>
              <w:footnoteReference w:id="19"/>
            </w:r>
            <w:r w:rsidRPr="00F61BA0">
              <w:rPr>
                <w:rFonts w:cstheme="minorHAnsi"/>
                <w:i/>
                <w:iCs/>
                <w:color w:val="FF0000"/>
              </w:rPr>
              <w:t xml:space="preserve">, showing that 200mg IM (once a day for 2 days) differed significantly from 500mg dose on cognitive testing post-treatment (mean difference: -17.90, 95% confidence interval -35.4 to -0.40, P = 0.04) for the prevention of . Whilst case series reports suggests a 500mg IV dose. Guideline recommendations vary, but generally use the higher dose for treatment of </w:t>
            </w:r>
            <w:r w:rsidRPr="00F61BA0">
              <w:rPr>
                <w:rFonts w:cstheme="minorHAnsi"/>
                <w:bCs/>
                <w:i/>
                <w:iCs/>
                <w:color w:val="FF0000"/>
              </w:rPr>
              <w:t>Wernicke’s encephalopathy.</w:t>
            </w:r>
          </w:p>
          <w:p w14:paraId="5AB90D9F" w14:textId="77777777" w:rsidR="00F61BA0" w:rsidRPr="00F61BA0" w:rsidRDefault="00F61BA0" w:rsidP="00F61BA0">
            <w:pPr>
              <w:pStyle w:val="ListParagraph"/>
              <w:numPr>
                <w:ilvl w:val="0"/>
                <w:numId w:val="14"/>
              </w:numPr>
              <w:autoSpaceDE w:val="0"/>
              <w:autoSpaceDN w:val="0"/>
              <w:adjustRightInd w:val="0"/>
              <w:jc w:val="both"/>
              <w:rPr>
                <w:rFonts w:cstheme="minorHAnsi"/>
                <w:bCs/>
                <w:i/>
                <w:iCs/>
                <w:color w:val="FF0000"/>
              </w:rPr>
            </w:pPr>
            <w:r w:rsidRPr="00F61BA0">
              <w:rPr>
                <w:rFonts w:cstheme="minorHAnsi"/>
                <w:bCs/>
                <w:i/>
                <w:iCs/>
                <w:color w:val="FF0000"/>
              </w:rPr>
              <w:t>Route of administration: It was noted that the SAMF</w:t>
            </w:r>
            <w:r w:rsidRPr="00F61BA0">
              <w:rPr>
                <w:rStyle w:val="FootnoteReference"/>
                <w:rFonts w:cstheme="minorHAnsi"/>
                <w:bCs/>
                <w:i/>
                <w:iCs/>
                <w:color w:val="FF0000"/>
              </w:rPr>
              <w:footnoteReference w:id="20"/>
            </w:r>
            <w:r w:rsidRPr="00F61BA0">
              <w:rPr>
                <w:rFonts w:cstheme="minorHAnsi"/>
                <w:bCs/>
                <w:i/>
                <w:iCs/>
                <w:color w:val="FF0000"/>
              </w:rPr>
              <w:t>, 2016 as well as the British National Formulary</w:t>
            </w:r>
            <w:r w:rsidRPr="00F61BA0">
              <w:rPr>
                <w:rStyle w:val="FootnoteReference"/>
                <w:rFonts w:cstheme="minorHAnsi"/>
                <w:bCs/>
                <w:i/>
                <w:iCs/>
                <w:color w:val="FF0000"/>
              </w:rPr>
              <w:footnoteReference w:id="21"/>
            </w:r>
            <w:r w:rsidRPr="00F61BA0">
              <w:rPr>
                <w:rFonts w:cstheme="minorHAnsi"/>
                <w:bCs/>
                <w:i/>
                <w:iCs/>
                <w:color w:val="FF0000"/>
              </w:rPr>
              <w:t xml:space="preserve"> cautions about anaphylaxis reactions associated with IV administration of thiamine; the latter citing MHRA/CHM advice, 2007:</w:t>
            </w:r>
          </w:p>
          <w:tbl>
            <w:tblPr>
              <w:tblStyle w:val="TableGrid"/>
              <w:tblW w:w="0" w:type="auto"/>
              <w:tblLook w:val="04A0" w:firstRow="1" w:lastRow="0" w:firstColumn="1" w:lastColumn="0" w:noHBand="0" w:noVBand="1"/>
            </w:tblPr>
            <w:tblGrid>
              <w:gridCol w:w="10230"/>
            </w:tblGrid>
            <w:tr w:rsidR="00F61BA0" w:rsidRPr="00F61BA0" w14:paraId="7AA295A4" w14:textId="77777777" w:rsidTr="00955459">
              <w:tc>
                <w:tcPr>
                  <w:tcW w:w="10790" w:type="dxa"/>
                </w:tcPr>
                <w:p w14:paraId="084C7B49" w14:textId="77777777" w:rsidR="00F61BA0" w:rsidRPr="00F61BA0" w:rsidRDefault="00F61BA0" w:rsidP="00F61BA0">
                  <w:pPr>
                    <w:autoSpaceDE w:val="0"/>
                    <w:autoSpaceDN w:val="0"/>
                    <w:adjustRightInd w:val="0"/>
                    <w:jc w:val="both"/>
                    <w:rPr>
                      <w:rFonts w:cstheme="minorHAnsi"/>
                      <w:bCs/>
                      <w:i/>
                      <w:iCs/>
                      <w:color w:val="FF0000"/>
                      <w:sz w:val="20"/>
                      <w:szCs w:val="20"/>
                    </w:rPr>
                  </w:pPr>
                  <w:r w:rsidRPr="00F61BA0">
                    <w:rPr>
                      <w:rFonts w:cstheme="minorHAnsi"/>
                      <w:bCs/>
                      <w:i/>
                      <w:iCs/>
                      <w:color w:val="FF0000"/>
                      <w:sz w:val="20"/>
                      <w:szCs w:val="20"/>
                    </w:rPr>
                    <w:t>IMPORTANT SAFETY INFORMATION MHRA/CHM ADVICE (SEPTEMBER 2007):</w:t>
                  </w:r>
                </w:p>
                <w:p w14:paraId="79224FEC" w14:textId="77777777" w:rsidR="00F61BA0" w:rsidRPr="00F61BA0" w:rsidRDefault="00F61BA0" w:rsidP="00F61BA0">
                  <w:pPr>
                    <w:autoSpaceDE w:val="0"/>
                    <w:autoSpaceDN w:val="0"/>
                    <w:adjustRightInd w:val="0"/>
                    <w:jc w:val="both"/>
                    <w:rPr>
                      <w:rFonts w:cstheme="minorHAnsi"/>
                      <w:bCs/>
                      <w:i/>
                      <w:iCs/>
                      <w:color w:val="FF0000"/>
                      <w:sz w:val="20"/>
                      <w:szCs w:val="20"/>
                    </w:rPr>
                  </w:pPr>
                  <w:r w:rsidRPr="00F61BA0">
                    <w:rPr>
                      <w:rFonts w:cstheme="minorHAnsi"/>
                      <w:bCs/>
                      <w:i/>
                      <w:iCs/>
                      <w:color w:val="FF0000"/>
                      <w:sz w:val="20"/>
                      <w:szCs w:val="20"/>
                    </w:rPr>
                    <w:t>Although potentially serious allergic adverse reactions may rarely occur during, or shortly after, parenteral administration, the CHM has recommended that:</w:t>
                  </w:r>
                </w:p>
                <w:p w14:paraId="3460F79D" w14:textId="77777777" w:rsidR="00F61BA0" w:rsidRPr="00F61BA0" w:rsidRDefault="00F61BA0" w:rsidP="00F61BA0">
                  <w:pPr>
                    <w:pStyle w:val="ListParagraph"/>
                    <w:numPr>
                      <w:ilvl w:val="0"/>
                      <w:numId w:val="5"/>
                    </w:numPr>
                    <w:autoSpaceDE w:val="0"/>
                    <w:autoSpaceDN w:val="0"/>
                    <w:adjustRightInd w:val="0"/>
                    <w:jc w:val="both"/>
                    <w:rPr>
                      <w:rFonts w:cstheme="minorHAnsi"/>
                      <w:bCs/>
                      <w:i/>
                      <w:iCs/>
                      <w:color w:val="FF0000"/>
                      <w:sz w:val="20"/>
                      <w:szCs w:val="20"/>
                    </w:rPr>
                  </w:pPr>
                  <w:r w:rsidRPr="00F61BA0">
                    <w:rPr>
                      <w:rFonts w:cstheme="minorHAnsi"/>
                      <w:bCs/>
                      <w:i/>
                      <w:iCs/>
                      <w:color w:val="FF0000"/>
                      <w:sz w:val="20"/>
                      <w:szCs w:val="20"/>
                    </w:rPr>
                    <w:t>This should not preclude the use of parenteral thiamine in patients where this route of administration is required, particularly in patients at risk of Wernicke-Korsakoff syndrome where treatment with thiamine is essential;</w:t>
                  </w:r>
                </w:p>
                <w:p w14:paraId="070804A6" w14:textId="77777777" w:rsidR="00F61BA0" w:rsidRPr="00F61BA0" w:rsidRDefault="00F61BA0" w:rsidP="00F61BA0">
                  <w:pPr>
                    <w:pStyle w:val="ListParagraph"/>
                    <w:numPr>
                      <w:ilvl w:val="0"/>
                      <w:numId w:val="5"/>
                    </w:numPr>
                    <w:autoSpaceDE w:val="0"/>
                    <w:autoSpaceDN w:val="0"/>
                    <w:adjustRightInd w:val="0"/>
                    <w:jc w:val="both"/>
                    <w:rPr>
                      <w:rFonts w:cstheme="minorHAnsi"/>
                      <w:bCs/>
                      <w:i/>
                      <w:iCs/>
                      <w:color w:val="FF0000"/>
                      <w:sz w:val="20"/>
                      <w:szCs w:val="20"/>
                    </w:rPr>
                  </w:pPr>
                  <w:r w:rsidRPr="00F61BA0">
                    <w:rPr>
                      <w:rFonts w:cstheme="minorHAnsi"/>
                      <w:bCs/>
                      <w:i/>
                      <w:iCs/>
                      <w:color w:val="FF0000"/>
                      <w:sz w:val="20"/>
                      <w:szCs w:val="20"/>
                    </w:rPr>
                    <w:t>Intravenous administration should be by infusion over 30 minutes;</w:t>
                  </w:r>
                </w:p>
                <w:p w14:paraId="59A71A23" w14:textId="77777777" w:rsidR="00F61BA0" w:rsidRPr="00F61BA0" w:rsidRDefault="00F61BA0" w:rsidP="00F61BA0">
                  <w:pPr>
                    <w:pStyle w:val="ListParagraph"/>
                    <w:numPr>
                      <w:ilvl w:val="0"/>
                      <w:numId w:val="5"/>
                    </w:numPr>
                    <w:autoSpaceDE w:val="0"/>
                    <w:autoSpaceDN w:val="0"/>
                    <w:adjustRightInd w:val="0"/>
                    <w:jc w:val="both"/>
                    <w:rPr>
                      <w:rFonts w:cstheme="minorHAnsi"/>
                      <w:bCs/>
                      <w:i/>
                      <w:iCs/>
                      <w:color w:val="FF0000"/>
                    </w:rPr>
                  </w:pPr>
                  <w:r w:rsidRPr="00F61BA0">
                    <w:rPr>
                      <w:rFonts w:cstheme="minorHAnsi"/>
                      <w:bCs/>
                      <w:i/>
                      <w:iCs/>
                      <w:color w:val="FF0000"/>
                      <w:sz w:val="20"/>
                      <w:szCs w:val="20"/>
                    </w:rPr>
                    <w:t>Facilities for treating anaphylaxis (including resuscitation facilities) should be available when parenteral thiamine is administered.</w:t>
                  </w:r>
                </w:p>
              </w:tc>
            </w:tr>
          </w:tbl>
          <w:p w14:paraId="06656456" w14:textId="77777777" w:rsidR="00F61BA0" w:rsidRPr="00F61BA0" w:rsidRDefault="00F61BA0" w:rsidP="00F61BA0">
            <w:pPr>
              <w:pStyle w:val="ListParagraph"/>
              <w:numPr>
                <w:ilvl w:val="0"/>
                <w:numId w:val="5"/>
              </w:numPr>
              <w:jc w:val="both"/>
              <w:rPr>
                <w:rFonts w:cstheme="minorHAnsi"/>
                <w:bCs/>
                <w:i/>
                <w:iCs/>
                <w:color w:val="FF0000"/>
              </w:rPr>
            </w:pPr>
            <w:r w:rsidRPr="00F61BA0">
              <w:rPr>
                <w:rFonts w:cstheme="minorHAnsi"/>
                <w:bCs/>
                <w:i/>
                <w:iCs/>
                <w:color w:val="FF0000"/>
              </w:rPr>
              <w:t>Pragmatic implications: Thiamine is only available as 100mg/ml vials anda large volume 5ml IM injection may be poorly tolerated by patients and possibly considered to be impractical.</w:t>
            </w:r>
          </w:p>
          <w:p w14:paraId="3F0FE505" w14:textId="77777777" w:rsidR="00F61BA0" w:rsidRPr="00F61BA0" w:rsidRDefault="00F61BA0" w:rsidP="00F61BA0">
            <w:pPr>
              <w:jc w:val="both"/>
              <w:rPr>
                <w:rFonts w:cstheme="minorHAnsi"/>
                <w:b/>
                <w:bCs/>
                <w:i/>
                <w:iCs/>
                <w:color w:val="FF0000"/>
              </w:rPr>
            </w:pPr>
            <w:r w:rsidRPr="00F61BA0">
              <w:rPr>
                <w:rFonts w:cstheme="minorHAnsi"/>
                <w:b/>
                <w:bCs/>
                <w:i/>
                <w:iCs/>
                <w:color w:val="FF0000"/>
              </w:rPr>
              <w:t>Recommendations:</w:t>
            </w:r>
          </w:p>
          <w:p w14:paraId="5FD1D119" w14:textId="77777777" w:rsidR="00F61BA0" w:rsidRPr="00F61BA0" w:rsidRDefault="00F61BA0" w:rsidP="00F61BA0">
            <w:pPr>
              <w:pStyle w:val="ListParagraph"/>
              <w:numPr>
                <w:ilvl w:val="0"/>
                <w:numId w:val="6"/>
              </w:numPr>
              <w:jc w:val="both"/>
              <w:rPr>
                <w:rFonts w:cstheme="minorHAnsi"/>
                <w:b/>
                <w:bCs/>
                <w:i/>
                <w:iCs/>
                <w:color w:val="FF0000"/>
              </w:rPr>
            </w:pPr>
            <w:r w:rsidRPr="00F61BA0">
              <w:rPr>
                <w:rFonts w:cstheme="minorHAnsi"/>
                <w:bCs/>
                <w:i/>
                <w:iCs/>
                <w:color w:val="FF0000"/>
              </w:rPr>
              <w:t>Dose be amended to a maximum of 200 mg IM in both the Adult Hospital and PHC STGs and EML for prevention of Wernicke’s encephalopathy.</w:t>
            </w:r>
          </w:p>
          <w:p w14:paraId="0F4F9596" w14:textId="77777777" w:rsidR="00F61BA0" w:rsidRPr="00F61BA0" w:rsidRDefault="00F61BA0" w:rsidP="00F61BA0">
            <w:pPr>
              <w:pStyle w:val="ListParagraph"/>
              <w:ind w:left="360"/>
              <w:jc w:val="both"/>
              <w:rPr>
                <w:rFonts w:cstheme="minorHAnsi"/>
                <w:b/>
                <w:bCs/>
                <w:i/>
                <w:iCs/>
                <w:strike/>
                <w:color w:val="FF0000"/>
                <w:highlight w:val="yellow"/>
              </w:rPr>
            </w:pPr>
          </w:p>
          <w:tbl>
            <w:tblPr>
              <w:tblStyle w:val="TableGrid"/>
              <w:tblW w:w="0" w:type="auto"/>
              <w:tblLook w:val="04A0" w:firstRow="1" w:lastRow="0" w:firstColumn="1" w:lastColumn="0" w:noHBand="0" w:noVBand="1"/>
            </w:tblPr>
            <w:tblGrid>
              <w:gridCol w:w="10230"/>
            </w:tblGrid>
            <w:tr w:rsidR="00F61BA0" w:rsidRPr="00F61BA0" w14:paraId="662CB3BC" w14:textId="77777777" w:rsidTr="00955459">
              <w:tc>
                <w:tcPr>
                  <w:tcW w:w="10456" w:type="dxa"/>
                </w:tcPr>
                <w:p w14:paraId="7B2A4560" w14:textId="77777777" w:rsidR="00F61BA0" w:rsidRPr="00F61BA0" w:rsidRDefault="00F61BA0" w:rsidP="00F61BA0">
                  <w:pPr>
                    <w:pStyle w:val="ListParagraph"/>
                    <w:ind w:left="0"/>
                    <w:jc w:val="both"/>
                    <w:rPr>
                      <w:rFonts w:cstheme="minorHAnsi"/>
                      <w:b/>
                      <w:bCs/>
                      <w:i/>
                      <w:iCs/>
                      <w:color w:val="FF0000"/>
                      <w:u w:val="single"/>
                    </w:rPr>
                  </w:pPr>
                  <w:r w:rsidRPr="00F61BA0">
                    <w:rPr>
                      <w:rFonts w:cstheme="minorHAnsi"/>
                      <w:b/>
                      <w:bCs/>
                      <w:i/>
                      <w:iCs/>
                      <w:color w:val="FF0000"/>
                      <w:u w:val="single"/>
                    </w:rPr>
                    <w:t>NEMLC MEETING OF 23 JUNE 2022:</w:t>
                  </w:r>
                </w:p>
                <w:p w14:paraId="1FB46252" w14:textId="77777777" w:rsidR="00F61BA0" w:rsidRPr="00F61BA0" w:rsidRDefault="00F61BA0" w:rsidP="00F61BA0">
                  <w:pPr>
                    <w:pStyle w:val="ListParagraph"/>
                    <w:ind w:left="0"/>
                    <w:jc w:val="both"/>
                    <w:rPr>
                      <w:rFonts w:cstheme="minorHAnsi"/>
                      <w:bCs/>
                      <w:i/>
                      <w:iCs/>
                      <w:color w:val="FF0000"/>
                    </w:rPr>
                  </w:pPr>
                  <w:r w:rsidRPr="00F61BA0">
                    <w:rPr>
                      <w:rFonts w:cstheme="minorHAnsi"/>
                      <w:bCs/>
                      <w:i/>
                      <w:iCs/>
                      <w:color w:val="FF0000"/>
                    </w:rPr>
                    <w:t>NEMLC accepted the proposal to amend the dose of thiamine from “100mg” to “200mg”, aligned with available RCT evidence, for the prevention of Wernicke’s encephalopathy. NEMLC also deliberated on the route of administration and recommended that for the prevention of Wernicke’s encephalopathy, that thiamine should be administered intramuscularly and not by the intravenous route.</w:t>
                  </w:r>
                </w:p>
              </w:tc>
            </w:tr>
          </w:tbl>
          <w:p w14:paraId="1FCC4754" w14:textId="77777777" w:rsidR="00F61BA0" w:rsidRPr="00F61BA0" w:rsidRDefault="00F61BA0" w:rsidP="009978C3">
            <w:pPr>
              <w:pStyle w:val="ListParagraph"/>
              <w:ind w:left="0"/>
              <w:jc w:val="both"/>
              <w:rPr>
                <w:rFonts w:cstheme="minorHAnsi"/>
                <w:i/>
                <w:iCs/>
                <w:color w:val="FF0000"/>
              </w:rPr>
            </w:pPr>
          </w:p>
        </w:tc>
      </w:tr>
    </w:tbl>
    <w:p w14:paraId="4C71B291" w14:textId="2DFFDEF0" w:rsidR="00F36A37" w:rsidRDefault="00F36A37" w:rsidP="0061219C">
      <w:pPr>
        <w:pStyle w:val="ListParagraph"/>
        <w:spacing w:after="0" w:line="240" w:lineRule="auto"/>
        <w:ind w:left="360"/>
        <w:jc w:val="both"/>
        <w:rPr>
          <w:rFonts w:cstheme="minorHAnsi"/>
          <w:bCs/>
        </w:rPr>
      </w:pPr>
    </w:p>
    <w:p w14:paraId="6DCAFD9F" w14:textId="77777777" w:rsidR="00BA0DFF" w:rsidRDefault="00BA0DFF" w:rsidP="0061219C">
      <w:pPr>
        <w:pStyle w:val="ListParagraph"/>
        <w:spacing w:after="0" w:line="240" w:lineRule="auto"/>
        <w:ind w:left="360"/>
        <w:jc w:val="both"/>
        <w:rPr>
          <w:rFonts w:cstheme="minorHAnsi"/>
          <w:bCs/>
        </w:rPr>
      </w:pPr>
    </w:p>
    <w:tbl>
      <w:tblPr>
        <w:tblW w:w="5000" w:type="pct"/>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ook w:val="00A0" w:firstRow="1" w:lastRow="0" w:firstColumn="1" w:lastColumn="0" w:noHBand="0" w:noVBand="0"/>
      </w:tblPr>
      <w:tblGrid>
        <w:gridCol w:w="10436"/>
      </w:tblGrid>
      <w:tr w:rsidR="00A72B8E" w:rsidRPr="00600007" w14:paraId="2B09D32D" w14:textId="77777777" w:rsidTr="00616EA6">
        <w:tc>
          <w:tcPr>
            <w:tcW w:w="5000" w:type="pct"/>
            <w:tcBorders>
              <w:top w:val="double" w:sz="4" w:space="0" w:color="C0C0C0"/>
              <w:left w:val="double" w:sz="4" w:space="0" w:color="C0C0C0"/>
              <w:bottom w:val="double" w:sz="4" w:space="0" w:color="C0C0C0"/>
              <w:right w:val="double" w:sz="4" w:space="0" w:color="C0C0C0"/>
            </w:tcBorders>
          </w:tcPr>
          <w:p w14:paraId="384ADCEA" w14:textId="709946BD" w:rsidR="00A72B8E" w:rsidRPr="00600007" w:rsidRDefault="00B14757" w:rsidP="00616EA6">
            <w:pPr>
              <w:widowControl w:val="0"/>
              <w:autoSpaceDE w:val="0"/>
              <w:autoSpaceDN w:val="0"/>
              <w:adjustRightInd w:val="0"/>
              <w:spacing w:before="120" w:after="120" w:line="240" w:lineRule="auto"/>
              <w:rPr>
                <w:rFonts w:cs="Calibri"/>
                <w:b/>
                <w:lang w:val="en-GB"/>
              </w:rPr>
            </w:pPr>
            <w:r>
              <w:rPr>
                <w:rFonts w:cs="Calibri"/>
                <w:b/>
                <w:spacing w:val="-4"/>
                <w:szCs w:val="20"/>
                <w:lang w:val="en-GB"/>
              </w:rPr>
              <w:t>20.10</w:t>
            </w:r>
            <w:r w:rsidR="008A0B1C">
              <w:rPr>
                <w:rFonts w:cs="Calibri"/>
                <w:b/>
                <w:spacing w:val="-4"/>
                <w:szCs w:val="20"/>
                <w:lang w:val="en-GB"/>
              </w:rPr>
              <w:t xml:space="preserve"> </w:t>
            </w:r>
            <w:r w:rsidR="008A0B1C" w:rsidRPr="008A0B1C">
              <w:rPr>
                <w:rFonts w:cs="Calibri"/>
                <w:b/>
                <w:spacing w:val="-4"/>
                <w:szCs w:val="20"/>
                <w:lang w:val="en-GB"/>
              </w:rPr>
              <w:t>PULMONARY OEDEMA, ACUTE</w:t>
            </w:r>
          </w:p>
        </w:tc>
      </w:tr>
    </w:tbl>
    <w:p w14:paraId="607939C6" w14:textId="6933BA8D" w:rsidR="008A0B1C" w:rsidRDefault="008A0B1C" w:rsidP="009978C3">
      <w:pPr>
        <w:pStyle w:val="ListParagraph"/>
        <w:spacing w:after="0" w:line="240" w:lineRule="auto"/>
        <w:ind w:left="0"/>
        <w:jc w:val="both"/>
        <w:rPr>
          <w:b/>
          <w:lang w:val="en-GB"/>
        </w:rPr>
      </w:pPr>
      <w:r w:rsidRPr="008A0B1C">
        <w:rPr>
          <w:b/>
          <w:lang w:val="en-GB"/>
        </w:rPr>
        <w:t xml:space="preserve">If </w:t>
      </w:r>
      <w:r w:rsidR="00B14757">
        <w:rPr>
          <w:b/>
          <w:lang w:val="en-GB"/>
        </w:rPr>
        <w:t>distressed, consider adding morphine</w:t>
      </w:r>
    </w:p>
    <w:p w14:paraId="3F4A22DE" w14:textId="77777777" w:rsidR="00B14757" w:rsidRPr="00EF446A" w:rsidRDefault="00B14757" w:rsidP="00B14757">
      <w:pPr>
        <w:pStyle w:val="ListParagraph"/>
        <w:spacing w:after="0" w:line="240" w:lineRule="auto"/>
        <w:ind w:left="0"/>
        <w:jc w:val="both"/>
        <w:rPr>
          <w:lang w:val="en-GB"/>
        </w:rPr>
      </w:pPr>
      <w:r w:rsidRPr="00EF446A">
        <w:rPr>
          <w:u w:val="single"/>
          <w:lang w:val="en-GB"/>
        </w:rPr>
        <w:t>Morphine, IV</w:t>
      </w:r>
      <w:r w:rsidRPr="00EF446A">
        <w:rPr>
          <w:lang w:val="en-GB"/>
        </w:rPr>
        <w:t xml:space="preserve">: </w:t>
      </w:r>
      <w:r w:rsidRPr="00EF446A">
        <w:rPr>
          <w:i/>
          <w:iCs/>
          <w:lang w:val="en-GB"/>
        </w:rPr>
        <w:t>deleted &amp; caution added</w:t>
      </w:r>
      <w:r w:rsidRPr="00EF446A">
        <w:rPr>
          <w:lang w:val="en-GB"/>
        </w:rPr>
        <w:t xml:space="preserve"> </w:t>
      </w:r>
    </w:p>
    <w:p w14:paraId="2131CC5E" w14:textId="6FFD655C" w:rsidR="00B14757" w:rsidRDefault="00B14757" w:rsidP="00B14757">
      <w:pPr>
        <w:pStyle w:val="ListParagraph"/>
        <w:spacing w:after="0" w:line="240" w:lineRule="auto"/>
        <w:ind w:left="0"/>
        <w:jc w:val="both"/>
        <w:rPr>
          <w:rFonts w:cstheme="minorHAnsi"/>
          <w:iCs/>
        </w:rPr>
      </w:pPr>
      <w:r>
        <w:rPr>
          <w:rFonts w:cstheme="minorHAnsi"/>
        </w:rPr>
        <w:t>Aligned with NEMLC-approved PHC emergencies and injuries chapter</w:t>
      </w:r>
      <w:r>
        <w:rPr>
          <w:rStyle w:val="FootnoteReference"/>
          <w:rFonts w:cstheme="minorHAnsi"/>
        </w:rPr>
        <w:footnoteReference w:id="22"/>
      </w:r>
      <w:r>
        <w:rPr>
          <w:rFonts w:cstheme="minorHAnsi"/>
          <w:iCs/>
        </w:rPr>
        <w:t>– see below:</w:t>
      </w:r>
    </w:p>
    <w:tbl>
      <w:tblPr>
        <w:tblStyle w:val="TableGrid"/>
        <w:tblW w:w="0" w:type="auto"/>
        <w:tblLook w:val="04A0" w:firstRow="1" w:lastRow="0" w:firstColumn="1" w:lastColumn="0" w:noHBand="0" w:noVBand="1"/>
      </w:tblPr>
      <w:tblGrid>
        <w:gridCol w:w="10456"/>
      </w:tblGrid>
      <w:tr w:rsidR="00B14757" w14:paraId="4C4031BF" w14:textId="77777777" w:rsidTr="00B14757">
        <w:trPr>
          <w:trHeight w:val="6270"/>
        </w:trPr>
        <w:tc>
          <w:tcPr>
            <w:tcW w:w="10456" w:type="dxa"/>
          </w:tcPr>
          <w:p w14:paraId="45647DE2" w14:textId="1461FB83" w:rsidR="00B14757" w:rsidRPr="00F61BA0" w:rsidRDefault="00B14757" w:rsidP="00B14757">
            <w:pPr>
              <w:pStyle w:val="ListParagraph"/>
              <w:ind w:left="0"/>
              <w:jc w:val="both"/>
              <w:rPr>
                <w:rFonts w:cstheme="minorHAnsi"/>
                <w:b/>
                <w:bCs/>
                <w:i/>
                <w:iCs/>
                <w:color w:val="FF0000"/>
                <w:u w:val="single"/>
              </w:rPr>
            </w:pPr>
            <w:r w:rsidRPr="00F61BA0">
              <w:rPr>
                <w:rFonts w:cstheme="minorHAnsi"/>
                <w:b/>
                <w:bCs/>
                <w:i/>
                <w:iCs/>
                <w:color w:val="FF0000"/>
                <w:u w:val="single"/>
              </w:rPr>
              <w:lastRenderedPageBreak/>
              <w:t xml:space="preserve">NEMLC report for the PHC emergencies chapter &amp; respective NEMLC </w:t>
            </w:r>
            <w:r>
              <w:rPr>
                <w:rFonts w:cstheme="minorHAnsi"/>
                <w:b/>
                <w:bCs/>
                <w:i/>
                <w:iCs/>
                <w:color w:val="FF0000"/>
                <w:u w:val="single"/>
              </w:rPr>
              <w:t>recommendation</w:t>
            </w:r>
            <w:r w:rsidRPr="00F61BA0">
              <w:rPr>
                <w:rFonts w:cstheme="minorHAnsi"/>
                <w:b/>
                <w:bCs/>
                <w:i/>
                <w:iCs/>
                <w:color w:val="FF0000"/>
                <w:u w:val="single"/>
              </w:rPr>
              <w:t xml:space="preserve"> (Meeting of 23 June 2022)</w:t>
            </w:r>
          </w:p>
          <w:p w14:paraId="0DAAEF87" w14:textId="77777777" w:rsidR="00B14757" w:rsidRPr="00B14757" w:rsidRDefault="00B14757" w:rsidP="00B14757">
            <w:pPr>
              <w:pStyle w:val="ListParagraph"/>
              <w:ind w:left="0"/>
              <w:jc w:val="both"/>
              <w:rPr>
                <w:i/>
                <w:iCs/>
                <w:color w:val="FF0000"/>
                <w:lang w:val="en-GB"/>
              </w:rPr>
            </w:pPr>
            <w:r w:rsidRPr="00B14757">
              <w:rPr>
                <w:i/>
                <w:iCs/>
                <w:color w:val="FF0000"/>
                <w:u w:val="single"/>
                <w:lang w:val="en-GB"/>
              </w:rPr>
              <w:t>Morphine, IV</w:t>
            </w:r>
            <w:r w:rsidRPr="00B14757">
              <w:rPr>
                <w:i/>
                <w:iCs/>
                <w:color w:val="FF0000"/>
                <w:lang w:val="en-GB"/>
              </w:rPr>
              <w:t>: deleted &amp; caution added to the STG</w:t>
            </w:r>
          </w:p>
          <w:p w14:paraId="71B3BB5F" w14:textId="77777777" w:rsidR="00B14757" w:rsidRPr="00B14757" w:rsidRDefault="00B14757" w:rsidP="00B14757">
            <w:pPr>
              <w:pStyle w:val="ListParagraph"/>
              <w:ind w:left="0"/>
              <w:jc w:val="both"/>
              <w:rPr>
                <w:i/>
                <w:iCs/>
                <w:color w:val="FF0000"/>
                <w:lang w:val="en-GB"/>
              </w:rPr>
            </w:pPr>
          </w:p>
          <w:p w14:paraId="17282799" w14:textId="77777777" w:rsidR="00B14757" w:rsidRPr="00B14757" w:rsidRDefault="00B14757" w:rsidP="00B14757">
            <w:pPr>
              <w:pStyle w:val="ListParagraph"/>
              <w:ind w:left="0"/>
              <w:jc w:val="both"/>
              <w:rPr>
                <w:i/>
                <w:iCs/>
                <w:color w:val="FF0000"/>
                <w:lang w:val="en-GB"/>
              </w:rPr>
            </w:pPr>
            <w:r w:rsidRPr="00B14757">
              <w:rPr>
                <w:i/>
                <w:iCs/>
                <w:color w:val="FF0000"/>
                <w:lang w:val="en-GB"/>
              </w:rPr>
              <w:t>Refer to the medicine review:</w:t>
            </w:r>
          </w:p>
          <w:p w14:paraId="7A83C443" w14:textId="77777777" w:rsidR="00B14757" w:rsidRPr="00B14757" w:rsidRDefault="00B14757" w:rsidP="00B14757">
            <w:pPr>
              <w:pStyle w:val="ListParagraph"/>
              <w:ind w:left="0"/>
              <w:jc w:val="both"/>
              <w:rPr>
                <w:i/>
                <w:iCs/>
                <w:color w:val="FF0000"/>
                <w:lang w:val="en-GB"/>
              </w:rPr>
            </w:pPr>
            <w:r w:rsidRPr="00B14757">
              <w:rPr>
                <w:i/>
                <w:iCs/>
                <w:color w:val="FF0000"/>
                <w:lang w:val="en-GB"/>
              </w:rPr>
              <w:object w:dxaOrig="1543" w:dyaOrig="991" w14:anchorId="2B3E3CB0">
                <v:shape id="_x0000_i1030" type="#_x0000_t75" style="width:77.4pt;height:49.8pt" o:ole="">
                  <v:imagedata r:id="rId24" o:title=""/>
                </v:shape>
                <o:OLEObject Type="Embed" ProgID="Word.Document.12" ShapeID="_x0000_i1030" DrawAspect="Icon" ObjectID="_1728018823" r:id="rId25">
                  <o:FieldCodes>\s</o:FieldCodes>
                </o:OLEObject>
              </w:object>
            </w:r>
          </w:p>
          <w:p w14:paraId="2C0D3A93" w14:textId="77777777" w:rsidR="00B14757" w:rsidRPr="00B14757" w:rsidRDefault="00B14757" w:rsidP="00B14757">
            <w:pPr>
              <w:jc w:val="both"/>
              <w:rPr>
                <w:rFonts w:ascii="Calibri" w:eastAsia="MS Mincho" w:hAnsi="Calibri" w:cs="Arial"/>
                <w:i/>
                <w:iCs/>
                <w:color w:val="FF0000"/>
                <w:spacing w:val="-2"/>
              </w:rPr>
            </w:pPr>
            <w:r w:rsidRPr="00B14757">
              <w:rPr>
                <w:rFonts w:ascii="Calibri" w:eastAsia="MS Mincho" w:hAnsi="Calibri" w:cs="Arial"/>
                <w:b/>
                <w:bCs/>
                <w:i/>
                <w:iCs/>
                <w:color w:val="FF0000"/>
                <w:spacing w:val="-2"/>
              </w:rPr>
              <w:t xml:space="preserve">Recommendation: </w:t>
            </w:r>
            <w:r w:rsidRPr="00B14757">
              <w:rPr>
                <w:rFonts w:ascii="Calibri" w:eastAsia="MS Mincho" w:hAnsi="Calibri" w:cs="Arial"/>
                <w:bCs/>
                <w:i/>
                <w:iCs/>
                <w:color w:val="FF0000"/>
                <w:spacing w:val="-2"/>
              </w:rPr>
              <w:t>The PHC/Adult Hospital Level Committee</w:t>
            </w:r>
            <w:r w:rsidRPr="00B14757">
              <w:rPr>
                <w:rFonts w:ascii="Calibri" w:eastAsia="MS Mincho" w:hAnsi="Calibri" w:cs="Arial"/>
                <w:b/>
                <w:bCs/>
                <w:i/>
                <w:iCs/>
                <w:color w:val="FF0000"/>
                <w:spacing w:val="-2"/>
              </w:rPr>
              <w:t xml:space="preserve"> </w:t>
            </w:r>
            <w:r w:rsidRPr="00B14757">
              <w:rPr>
                <w:rFonts w:ascii="Calibri" w:eastAsia="MS Mincho" w:hAnsi="Calibri" w:cs="Arial"/>
                <w:i/>
                <w:iCs/>
                <w:color w:val="FF0000"/>
                <w:spacing w:val="-2"/>
              </w:rPr>
              <w:t xml:space="preserve">suggests not to use morphine for the treatment of acute pulmonary distress. </w:t>
            </w:r>
          </w:p>
          <w:p w14:paraId="128CD32D" w14:textId="77777777" w:rsidR="00B14757" w:rsidRPr="00B14757" w:rsidRDefault="00B14757" w:rsidP="00B14757">
            <w:pPr>
              <w:widowControl w:val="0"/>
              <w:jc w:val="both"/>
              <w:rPr>
                <w:rFonts w:ascii="Calibri" w:eastAsia="MS Mincho" w:hAnsi="Calibri" w:cs="Arial"/>
                <w:b/>
                <w:bCs/>
                <w:i/>
                <w:iCs/>
                <w:color w:val="FF0000"/>
                <w:spacing w:val="-2"/>
              </w:rPr>
            </w:pPr>
            <w:r w:rsidRPr="00B14757">
              <w:rPr>
                <w:rFonts w:ascii="Calibri" w:eastAsia="MS Mincho" w:hAnsi="Calibri" w:cs="Arial"/>
                <w:i/>
                <w:iCs/>
                <w:color w:val="FF0000"/>
                <w:spacing w:val="-2"/>
              </w:rPr>
              <w:t xml:space="preserve">Rationale: </w:t>
            </w:r>
            <w:r w:rsidRPr="00B14757">
              <w:rPr>
                <w:rFonts w:ascii="Calibri" w:eastAsia="MS Mincho" w:hAnsi="Calibri" w:cs="Arial"/>
                <w:i/>
                <w:iCs/>
                <w:color w:val="FF0000"/>
              </w:rPr>
              <w:t>Available evidence shows that morphine may increase in-hospital and all-cause mortality and may result in a large increase in invasive mechanical ventilation compared to not using morphine. No available data could be found on whether morphine increases non-fatal adverse events, ICU or hospital length of stay.</w:t>
            </w:r>
          </w:p>
          <w:p w14:paraId="3F8E1A8C" w14:textId="77777777" w:rsidR="00B14757" w:rsidRPr="00B14757" w:rsidRDefault="00B14757" w:rsidP="00B14757">
            <w:pPr>
              <w:widowControl w:val="0"/>
              <w:rPr>
                <w:rFonts w:ascii="Calibri" w:eastAsia="MS Mincho" w:hAnsi="Calibri" w:cs="Arial"/>
                <w:b/>
                <w:bCs/>
                <w:i/>
                <w:iCs/>
                <w:color w:val="FF0000"/>
              </w:rPr>
            </w:pPr>
            <w:r w:rsidRPr="00B14757">
              <w:rPr>
                <w:rFonts w:ascii="Calibri" w:eastAsia="MS Mincho" w:hAnsi="Calibri" w:cs="Arial"/>
                <w:b/>
                <w:bCs/>
                <w:i/>
                <w:iCs/>
                <w:color w:val="FF0000"/>
                <w:spacing w:val="-2"/>
              </w:rPr>
              <w:t>Level of Evidence:</w:t>
            </w:r>
            <w:r w:rsidRPr="00B14757">
              <w:rPr>
                <w:rFonts w:ascii="Calibri" w:eastAsia="MS Mincho" w:hAnsi="Calibri" w:cs="Arial"/>
                <w:b/>
                <w:bCs/>
                <w:i/>
                <w:iCs/>
                <w:color w:val="FF0000"/>
              </w:rPr>
              <w:t xml:space="preserve"> </w:t>
            </w:r>
            <w:r w:rsidRPr="00B14757">
              <w:rPr>
                <w:rFonts w:ascii="Calibri" w:eastAsia="MS Mincho" w:hAnsi="Calibri" w:cs="Arial"/>
                <w:i/>
                <w:iCs/>
                <w:color w:val="FF0000"/>
              </w:rPr>
              <w:t>Low certainty of evidence</w:t>
            </w:r>
          </w:p>
          <w:p w14:paraId="499D4559" w14:textId="77777777" w:rsidR="00B14757" w:rsidRPr="00B14757" w:rsidRDefault="00B14757" w:rsidP="00B14757">
            <w:pPr>
              <w:pStyle w:val="ListParagraph"/>
              <w:ind w:left="0"/>
              <w:jc w:val="both"/>
              <w:rPr>
                <w:i/>
                <w:iCs/>
                <w:color w:val="FF0000"/>
                <w:lang w:val="en-GB"/>
              </w:rPr>
            </w:pPr>
            <w:r w:rsidRPr="00B14757">
              <w:rPr>
                <w:rFonts w:ascii="Calibri" w:eastAsia="MS Mincho" w:hAnsi="Calibri" w:cs="Arial"/>
                <w:b/>
                <w:bCs/>
                <w:i/>
                <w:iCs/>
                <w:color w:val="FF0000"/>
              </w:rPr>
              <w:t xml:space="preserve">Review indicator: </w:t>
            </w:r>
            <w:r w:rsidRPr="00B14757">
              <w:rPr>
                <w:rFonts w:ascii="Calibri" w:eastAsia="MS Mincho" w:hAnsi="Calibri" w:cs="Arial"/>
                <w:i/>
                <w:iCs/>
                <w:color w:val="FF0000"/>
              </w:rPr>
              <w:t>New high-quality evidence of a clinically relevant benefit</w:t>
            </w:r>
          </w:p>
          <w:p w14:paraId="317A5507" w14:textId="77777777" w:rsidR="00B14757" w:rsidRPr="00B14757" w:rsidRDefault="00B14757" w:rsidP="00B14757">
            <w:pPr>
              <w:pStyle w:val="ListParagraph"/>
              <w:ind w:left="0"/>
              <w:jc w:val="both"/>
              <w:rPr>
                <w:i/>
                <w:iCs/>
                <w:color w:val="FF0000"/>
                <w:lang w:val="en-GB"/>
              </w:rPr>
            </w:pPr>
          </w:p>
          <w:tbl>
            <w:tblPr>
              <w:tblStyle w:val="TableGrid"/>
              <w:tblW w:w="0" w:type="auto"/>
              <w:tblLook w:val="04A0" w:firstRow="1" w:lastRow="0" w:firstColumn="1" w:lastColumn="0" w:noHBand="0" w:noVBand="1"/>
            </w:tblPr>
            <w:tblGrid>
              <w:gridCol w:w="10230"/>
            </w:tblGrid>
            <w:tr w:rsidR="00B14757" w:rsidRPr="00B14757" w14:paraId="7BC092EE" w14:textId="77777777" w:rsidTr="0056185C">
              <w:tc>
                <w:tcPr>
                  <w:tcW w:w="10456" w:type="dxa"/>
                </w:tcPr>
                <w:p w14:paraId="3D1CC463" w14:textId="77777777" w:rsidR="00B14757" w:rsidRPr="00B14757" w:rsidRDefault="00B14757" w:rsidP="00B14757">
                  <w:pPr>
                    <w:pStyle w:val="ListParagraph"/>
                    <w:ind w:left="0"/>
                    <w:jc w:val="both"/>
                    <w:rPr>
                      <w:rFonts w:cstheme="minorHAnsi"/>
                      <w:b/>
                      <w:bCs/>
                      <w:i/>
                      <w:iCs/>
                      <w:color w:val="FF0000"/>
                      <w:u w:val="single"/>
                    </w:rPr>
                  </w:pPr>
                  <w:r w:rsidRPr="00B14757">
                    <w:rPr>
                      <w:rFonts w:cstheme="minorHAnsi"/>
                      <w:b/>
                      <w:bCs/>
                      <w:i/>
                      <w:iCs/>
                      <w:color w:val="FF0000"/>
                      <w:u w:val="single"/>
                    </w:rPr>
                    <w:t>NEMLC MEETING OF 23 JUNE 2022:</w:t>
                  </w:r>
                </w:p>
                <w:p w14:paraId="13A6D173" w14:textId="77777777" w:rsidR="00B14757" w:rsidRPr="00B14757" w:rsidRDefault="00B14757" w:rsidP="00B14757">
                  <w:pPr>
                    <w:jc w:val="both"/>
                    <w:rPr>
                      <w:rFonts w:ascii="Calibri" w:eastAsia="MS Mincho" w:hAnsi="Calibri" w:cs="Arial"/>
                      <w:i/>
                      <w:iCs/>
                      <w:color w:val="FF0000"/>
                      <w:spacing w:val="-2"/>
                    </w:rPr>
                  </w:pPr>
                  <w:r w:rsidRPr="00B14757">
                    <w:rPr>
                      <w:rFonts w:cstheme="minorHAnsi"/>
                      <w:bCs/>
                      <w:i/>
                      <w:iCs/>
                      <w:color w:val="FF0000"/>
                    </w:rPr>
                    <w:t xml:space="preserve">NEMLC accepted the proposal to amend the remove morphine </w:t>
                  </w:r>
                  <w:r w:rsidRPr="00B14757">
                    <w:rPr>
                      <w:rFonts w:ascii="Calibri" w:eastAsia="MS Mincho" w:hAnsi="Calibri" w:cs="Arial"/>
                      <w:i/>
                      <w:iCs/>
                      <w:color w:val="FF0000"/>
                      <w:spacing w:val="-2"/>
                    </w:rPr>
                    <w:t>the treatment of acute pulmonary distress. However, recommended that a caution be included in the STG, accordingly:</w:t>
                  </w:r>
                </w:p>
                <w:tbl>
                  <w:tblPr>
                    <w:tblStyle w:val="TableGrid"/>
                    <w:tblW w:w="5000" w:type="pct"/>
                    <w:tblLook w:val="04A0" w:firstRow="1" w:lastRow="0" w:firstColumn="1" w:lastColumn="0" w:noHBand="0" w:noVBand="1"/>
                  </w:tblPr>
                  <w:tblGrid>
                    <w:gridCol w:w="10004"/>
                  </w:tblGrid>
                  <w:tr w:rsidR="00B14757" w:rsidRPr="00B14757" w14:paraId="5D29DCF2" w14:textId="77777777" w:rsidTr="00B14757">
                    <w:trPr>
                      <w:trHeight w:val="251"/>
                    </w:trPr>
                    <w:tc>
                      <w:tcPr>
                        <w:tcW w:w="5000" w:type="pct"/>
                      </w:tcPr>
                      <w:p w14:paraId="01BDE732" w14:textId="77777777" w:rsidR="00B14757" w:rsidRPr="00B14757" w:rsidRDefault="00B14757" w:rsidP="00B14757">
                        <w:pPr>
                          <w:pStyle w:val="Centeredbox"/>
                          <w:spacing w:before="0" w:after="0"/>
                          <w:rPr>
                            <w:rFonts w:asciiTheme="minorHAnsi" w:hAnsiTheme="minorHAnsi" w:cstheme="minorHAnsi"/>
                            <w:i/>
                            <w:iCs/>
                            <w:color w:val="FF0000"/>
                            <w:sz w:val="22"/>
                            <w:szCs w:val="22"/>
                            <w:u w:val="single"/>
                          </w:rPr>
                        </w:pPr>
                        <w:r w:rsidRPr="00B14757">
                          <w:rPr>
                            <w:rStyle w:val="Strong"/>
                            <w:rFonts w:asciiTheme="minorHAnsi" w:hAnsiTheme="minorHAnsi" w:cstheme="minorHAnsi"/>
                            <w:i/>
                            <w:iCs/>
                            <w:color w:val="FF0000"/>
                            <w:sz w:val="22"/>
                            <w:szCs w:val="22"/>
                            <w:u w:val="single"/>
                          </w:rPr>
                          <w:t>CAUTION</w:t>
                        </w:r>
                      </w:p>
                      <w:p w14:paraId="6D5B2867" w14:textId="77777777" w:rsidR="00B14757" w:rsidRPr="00B14757" w:rsidRDefault="00B14757" w:rsidP="00B14757">
                        <w:pPr>
                          <w:pStyle w:val="Centeredbox"/>
                          <w:spacing w:before="0" w:after="0"/>
                          <w:rPr>
                            <w:i/>
                            <w:iCs/>
                            <w:color w:val="FF0000"/>
                            <w:sz w:val="22"/>
                            <w:szCs w:val="22"/>
                          </w:rPr>
                        </w:pPr>
                        <w:r w:rsidRPr="00B14757">
                          <w:rPr>
                            <w:rFonts w:asciiTheme="minorHAnsi" w:hAnsiTheme="minorHAnsi" w:cstheme="minorHAnsi"/>
                            <w:i/>
                            <w:iCs/>
                            <w:color w:val="FF0000"/>
                            <w:sz w:val="22"/>
                            <w:szCs w:val="22"/>
                            <w:u w:val="single"/>
                          </w:rPr>
                          <w:t>Do not use morphine for pulmonary oedema, as there is observational data providing a signal of harm.</w:t>
                        </w:r>
                        <w:r w:rsidRPr="00B14757">
                          <w:rPr>
                            <w:i/>
                            <w:iCs/>
                            <w:color w:val="FF0000"/>
                            <w:sz w:val="22"/>
                            <w:szCs w:val="22"/>
                          </w:rPr>
                          <w:t xml:space="preserve"> </w:t>
                        </w:r>
                      </w:p>
                    </w:tc>
                  </w:tr>
                </w:tbl>
                <w:p w14:paraId="2A0E257A" w14:textId="77777777" w:rsidR="00B14757" w:rsidRPr="00B14757" w:rsidRDefault="00B14757" w:rsidP="00B14757">
                  <w:pPr>
                    <w:pStyle w:val="ListParagraph"/>
                    <w:ind w:left="0"/>
                    <w:jc w:val="both"/>
                    <w:rPr>
                      <w:rFonts w:cstheme="minorHAnsi"/>
                      <w:bCs/>
                      <w:i/>
                      <w:iCs/>
                      <w:color w:val="FF0000"/>
                    </w:rPr>
                  </w:pPr>
                  <w:r w:rsidRPr="00B14757">
                    <w:rPr>
                      <w:rFonts w:ascii="Calibri" w:eastAsia="SimSun" w:hAnsi="Calibri" w:cs="Calibri"/>
                      <w:bCs/>
                      <w:i/>
                      <w:iCs/>
                      <w:noProof/>
                      <w:color w:val="FF0000"/>
                      <w:lang w:val="en-GB" w:eastAsia="ja-JP"/>
                    </w:rPr>
                    <w:t>Furthermore, once the respetive chapter is finalised, it was recommended that a circular be drafted and disseminated regarding the harms associated with use of morphine for distress in pulmonary oedema.</w:t>
                  </w:r>
                </w:p>
              </w:tc>
            </w:tr>
          </w:tbl>
          <w:p w14:paraId="2E3BEEAD" w14:textId="77777777" w:rsidR="00B14757" w:rsidRDefault="00B14757" w:rsidP="009978C3">
            <w:pPr>
              <w:pStyle w:val="ListParagraph"/>
              <w:ind w:left="0"/>
              <w:jc w:val="both"/>
              <w:rPr>
                <w:b/>
                <w:lang w:val="en-GB"/>
              </w:rPr>
            </w:pPr>
          </w:p>
        </w:tc>
      </w:tr>
    </w:tbl>
    <w:p w14:paraId="4BBF77BE" w14:textId="46403069" w:rsidR="0006500A" w:rsidRDefault="0006500A" w:rsidP="002D4498">
      <w:pPr>
        <w:pStyle w:val="ListParagraph"/>
        <w:spacing w:after="0" w:line="240" w:lineRule="auto"/>
        <w:ind w:left="0"/>
        <w:jc w:val="both"/>
        <w:rPr>
          <w:sz w:val="16"/>
          <w:szCs w:val="16"/>
          <w:u w:val="single"/>
        </w:rPr>
      </w:pPr>
    </w:p>
    <w:p w14:paraId="278E00D1" w14:textId="77777777" w:rsidR="00D76898" w:rsidRDefault="00D76898" w:rsidP="002D4498">
      <w:pPr>
        <w:pStyle w:val="ListParagraph"/>
        <w:spacing w:after="0" w:line="240" w:lineRule="auto"/>
        <w:ind w:left="0"/>
        <w:jc w:val="both"/>
        <w:rPr>
          <w:rFonts w:cstheme="minorHAnsi"/>
          <w:b/>
        </w:rPr>
      </w:pPr>
    </w:p>
    <w:tbl>
      <w:tblPr>
        <w:tblW w:w="5000" w:type="pct"/>
        <w:tblBorders>
          <w:top w:val="double" w:sz="4" w:space="0" w:color="C0C0C0"/>
          <w:left w:val="double" w:sz="4" w:space="0" w:color="C0C0C0"/>
          <w:bottom w:val="double" w:sz="4" w:space="0" w:color="C0C0C0"/>
          <w:right w:val="double" w:sz="4" w:space="0" w:color="C0C0C0"/>
          <w:insideH w:val="double" w:sz="4" w:space="0" w:color="C0C0C0"/>
          <w:insideV w:val="double" w:sz="4" w:space="0" w:color="C0C0C0"/>
        </w:tblBorders>
        <w:tblLook w:val="00A0" w:firstRow="1" w:lastRow="0" w:firstColumn="1" w:lastColumn="0" w:noHBand="0" w:noVBand="0"/>
      </w:tblPr>
      <w:tblGrid>
        <w:gridCol w:w="10436"/>
      </w:tblGrid>
      <w:tr w:rsidR="0006500A" w:rsidRPr="00600007" w14:paraId="3248E810" w14:textId="77777777" w:rsidTr="00175090">
        <w:tc>
          <w:tcPr>
            <w:tcW w:w="5000" w:type="pct"/>
            <w:tcBorders>
              <w:top w:val="double" w:sz="4" w:space="0" w:color="C0C0C0"/>
              <w:left w:val="double" w:sz="4" w:space="0" w:color="C0C0C0"/>
              <w:bottom w:val="double" w:sz="4" w:space="0" w:color="C0C0C0"/>
              <w:right w:val="double" w:sz="4" w:space="0" w:color="C0C0C0"/>
            </w:tcBorders>
          </w:tcPr>
          <w:p w14:paraId="35E877CE" w14:textId="79EC8E77" w:rsidR="0006500A" w:rsidRPr="00600007" w:rsidRDefault="00D76898" w:rsidP="00175090">
            <w:pPr>
              <w:widowControl w:val="0"/>
              <w:autoSpaceDE w:val="0"/>
              <w:autoSpaceDN w:val="0"/>
              <w:adjustRightInd w:val="0"/>
              <w:spacing w:before="120" w:after="120" w:line="240" w:lineRule="auto"/>
              <w:rPr>
                <w:rFonts w:cs="Calibri"/>
                <w:b/>
                <w:lang w:val="en-GB"/>
              </w:rPr>
            </w:pPr>
            <w:r>
              <w:rPr>
                <w:rFonts w:cs="Calibri"/>
                <w:b/>
                <w:spacing w:val="-4"/>
                <w:szCs w:val="20"/>
                <w:lang w:val="en-GB"/>
              </w:rPr>
              <w:t>20.16 BURNS</w:t>
            </w:r>
            <w:r w:rsidR="0006500A">
              <w:rPr>
                <w:rFonts w:cs="Calibri"/>
                <w:b/>
                <w:spacing w:val="-4"/>
                <w:szCs w:val="20"/>
                <w:lang w:val="en-GB"/>
              </w:rPr>
              <w:t xml:space="preserve"> </w:t>
            </w:r>
          </w:p>
        </w:tc>
      </w:tr>
    </w:tbl>
    <w:p w14:paraId="78A1A889" w14:textId="71EE97B6" w:rsidR="00222ECC" w:rsidRDefault="00222ECC" w:rsidP="00222ECC">
      <w:pPr>
        <w:spacing w:after="0" w:line="240" w:lineRule="auto"/>
        <w:jc w:val="both"/>
        <w:rPr>
          <w:i/>
          <w:iCs/>
        </w:rPr>
      </w:pPr>
      <w:r w:rsidRPr="00222ECC">
        <w:rPr>
          <w:u w:val="single"/>
        </w:rPr>
        <w:t>Figure to calculate body surface area % in children &lt; 8 years</w:t>
      </w:r>
      <w:r>
        <w:t xml:space="preserve">: </w:t>
      </w:r>
      <w:r w:rsidRPr="00222ECC">
        <w:rPr>
          <w:i/>
          <w:iCs/>
        </w:rPr>
        <w:t>deleted</w:t>
      </w:r>
    </w:p>
    <w:p w14:paraId="693F2597" w14:textId="3729B1A0" w:rsidR="00222ECC" w:rsidRPr="00222ECC" w:rsidRDefault="00222ECC" w:rsidP="00222ECC">
      <w:pPr>
        <w:spacing w:after="0" w:line="240" w:lineRule="auto"/>
        <w:jc w:val="both"/>
      </w:pPr>
      <w:r>
        <w:t>As not relevant to the Adult Hospital Level STGs and EML.</w:t>
      </w:r>
    </w:p>
    <w:p w14:paraId="7E84D20F" w14:textId="249E0F66" w:rsidR="00175090" w:rsidRDefault="00175090" w:rsidP="00222ECC">
      <w:pPr>
        <w:spacing w:after="0" w:line="240" w:lineRule="auto"/>
        <w:jc w:val="both"/>
      </w:pPr>
    </w:p>
    <w:p w14:paraId="5EC1809D" w14:textId="520316FD" w:rsidR="00DC2546" w:rsidRDefault="00DC2546" w:rsidP="00222ECC">
      <w:pPr>
        <w:spacing w:after="0" w:line="240" w:lineRule="auto"/>
        <w:jc w:val="both"/>
        <w:rPr>
          <w:b/>
          <w:bCs/>
        </w:rPr>
      </w:pPr>
      <w:r w:rsidRPr="00DC2546">
        <w:rPr>
          <w:b/>
          <w:bCs/>
        </w:rPr>
        <w:t>Septic burns</w:t>
      </w:r>
    </w:p>
    <w:p w14:paraId="17D5D417" w14:textId="2462B71B" w:rsidR="00DC2546" w:rsidRDefault="00DC2546" w:rsidP="00DC2546">
      <w:pPr>
        <w:pStyle w:val="ListParagraph"/>
        <w:spacing w:after="0" w:line="240" w:lineRule="auto"/>
        <w:ind w:left="0"/>
        <w:jc w:val="both"/>
        <w:rPr>
          <w:rFonts w:cstheme="minorHAnsi"/>
        </w:rPr>
      </w:pPr>
      <w:r>
        <w:rPr>
          <w:rFonts w:cstheme="minorHAnsi"/>
        </w:rPr>
        <w:t>Aligned with the NEMLC-approved PHC emergencies and injuries chapter</w:t>
      </w:r>
      <w:r>
        <w:rPr>
          <w:rStyle w:val="FootnoteReference"/>
          <w:rFonts w:cstheme="minorHAnsi"/>
        </w:rPr>
        <w:footnoteReference w:id="23"/>
      </w:r>
      <w:r>
        <w:rPr>
          <w:rFonts w:cstheme="minorHAnsi"/>
        </w:rPr>
        <w:t>, as follows:</w:t>
      </w:r>
    </w:p>
    <w:p w14:paraId="5B95D5E7" w14:textId="77777777" w:rsidR="00DC2546" w:rsidRDefault="00DC2546" w:rsidP="00222ECC">
      <w:pPr>
        <w:spacing w:after="0" w:line="240" w:lineRule="auto"/>
        <w:jc w:val="both"/>
        <w:rPr>
          <w:b/>
          <w:bCs/>
        </w:rPr>
      </w:pPr>
    </w:p>
    <w:p w14:paraId="692CE92B" w14:textId="77777777" w:rsidR="00DC2546" w:rsidRDefault="00DC2546" w:rsidP="00DC2546">
      <w:pPr>
        <w:pStyle w:val="ListParagraph"/>
        <w:spacing w:after="0" w:line="240" w:lineRule="auto"/>
        <w:ind w:left="0"/>
        <w:jc w:val="both"/>
        <w:rPr>
          <w:rFonts w:cstheme="minorHAnsi"/>
          <w:shd w:val="clear" w:color="auto" w:fill="FFFFFF"/>
        </w:rPr>
      </w:pPr>
      <w:r w:rsidRPr="00C0300E">
        <w:rPr>
          <w:rFonts w:cstheme="minorHAnsi"/>
          <w:u w:val="single"/>
          <w:shd w:val="clear" w:color="auto" w:fill="FFFFFF"/>
        </w:rPr>
        <w:t>Povidone iodine, topical</w:t>
      </w:r>
      <w:r>
        <w:rPr>
          <w:rFonts w:cstheme="minorHAnsi"/>
          <w:shd w:val="clear" w:color="auto" w:fill="FFFFFF"/>
        </w:rPr>
        <w:t xml:space="preserve">: </w:t>
      </w:r>
      <w:r w:rsidRPr="00C0300E">
        <w:rPr>
          <w:rFonts w:cstheme="minorHAnsi"/>
          <w:i/>
          <w:shd w:val="clear" w:color="auto" w:fill="FFFFFF"/>
        </w:rPr>
        <w:t xml:space="preserve">retained </w:t>
      </w:r>
    </w:p>
    <w:p w14:paraId="7AF9FDDE" w14:textId="77777777" w:rsidR="00DC2546" w:rsidRDefault="00DC2546" w:rsidP="00DC2546">
      <w:pPr>
        <w:pStyle w:val="ListParagraph"/>
        <w:spacing w:after="0" w:line="240" w:lineRule="auto"/>
        <w:ind w:left="0"/>
        <w:jc w:val="both"/>
        <w:rPr>
          <w:rFonts w:cstheme="minorHAnsi"/>
          <w:shd w:val="clear" w:color="auto" w:fill="FFFFFF"/>
        </w:rPr>
      </w:pPr>
      <w:r w:rsidRPr="00C0300E">
        <w:rPr>
          <w:rFonts w:cstheme="minorHAnsi"/>
          <w:u w:val="single"/>
          <w:shd w:val="clear" w:color="auto" w:fill="FFFFFF"/>
        </w:rPr>
        <w:t>Silver sulfadiazine, topical:</w:t>
      </w:r>
      <w:r>
        <w:rPr>
          <w:rFonts w:cstheme="minorHAnsi"/>
          <w:shd w:val="clear" w:color="auto" w:fill="FFFFFF"/>
        </w:rPr>
        <w:t xml:space="preserve"> </w:t>
      </w:r>
      <w:r w:rsidRPr="00C0300E">
        <w:rPr>
          <w:rFonts w:cstheme="minorHAnsi"/>
          <w:i/>
          <w:shd w:val="clear" w:color="auto" w:fill="FFFFFF"/>
        </w:rPr>
        <w:t>not added</w:t>
      </w:r>
    </w:p>
    <w:p w14:paraId="638D3963" w14:textId="77777777" w:rsidR="00DC2546" w:rsidRDefault="00DC2546" w:rsidP="00DC2546">
      <w:pPr>
        <w:pStyle w:val="ListParagraph"/>
        <w:spacing w:after="0" w:line="240" w:lineRule="auto"/>
        <w:ind w:left="0"/>
        <w:jc w:val="both"/>
        <w:rPr>
          <w:rFonts w:cstheme="minorHAnsi"/>
          <w:shd w:val="clear" w:color="auto" w:fill="FFFFFF"/>
        </w:rPr>
      </w:pPr>
      <w:r w:rsidRPr="00C0300E">
        <w:rPr>
          <w:rFonts w:cstheme="minorHAnsi"/>
          <w:u w:val="single"/>
          <w:shd w:val="clear" w:color="auto" w:fill="FFFFFF"/>
        </w:rPr>
        <w:t>Mupirocin, topical:</w:t>
      </w:r>
      <w:r>
        <w:rPr>
          <w:rFonts w:cstheme="minorHAnsi"/>
          <w:shd w:val="clear" w:color="auto" w:fill="FFFFFF"/>
        </w:rPr>
        <w:t xml:space="preserve"> </w:t>
      </w:r>
      <w:r w:rsidRPr="00C0300E">
        <w:rPr>
          <w:rFonts w:cstheme="minorHAnsi"/>
          <w:i/>
          <w:shd w:val="clear" w:color="auto" w:fill="FFFFFF"/>
        </w:rPr>
        <w:t>not added</w:t>
      </w:r>
    </w:p>
    <w:p w14:paraId="3BDF8207" w14:textId="77777777" w:rsidR="00DC2546" w:rsidRPr="00C0300E" w:rsidRDefault="00DC2546" w:rsidP="00DC2546">
      <w:pPr>
        <w:pStyle w:val="ListParagraph"/>
        <w:spacing w:after="0" w:line="240" w:lineRule="auto"/>
        <w:ind w:left="0"/>
        <w:jc w:val="both"/>
        <w:rPr>
          <w:rFonts w:cstheme="minorHAnsi"/>
          <w:shd w:val="clear" w:color="auto" w:fill="FFFFFF"/>
        </w:rPr>
      </w:pPr>
      <w:r w:rsidRPr="00C0300E">
        <w:rPr>
          <w:rFonts w:cstheme="minorHAnsi"/>
          <w:u w:val="single"/>
          <w:shd w:val="clear" w:color="auto" w:fill="FFFFFF"/>
        </w:rPr>
        <w:t>Nano‐crystalline dressings</w:t>
      </w:r>
      <w:r>
        <w:rPr>
          <w:rFonts w:cstheme="minorHAnsi"/>
          <w:shd w:val="clear" w:color="auto" w:fill="FFFFFF"/>
        </w:rPr>
        <w:t>:</w:t>
      </w:r>
      <w:r w:rsidRPr="00C0300E">
        <w:rPr>
          <w:rFonts w:cstheme="minorHAnsi"/>
          <w:i/>
          <w:shd w:val="clear" w:color="auto" w:fill="FFFFFF"/>
        </w:rPr>
        <w:t xml:space="preserve"> not added</w:t>
      </w:r>
    </w:p>
    <w:p w14:paraId="088C1213" w14:textId="77777777" w:rsidR="00DC2546" w:rsidRDefault="00DC2546" w:rsidP="00DC2546">
      <w:pPr>
        <w:pStyle w:val="ListParagraph"/>
        <w:spacing w:after="0" w:line="240" w:lineRule="auto"/>
        <w:ind w:left="0"/>
        <w:jc w:val="both"/>
        <w:rPr>
          <w:rFonts w:cstheme="minorHAnsi"/>
          <w:shd w:val="clear" w:color="auto" w:fill="FFFFFF"/>
        </w:rPr>
      </w:pPr>
      <w:r w:rsidRPr="00C0300E">
        <w:rPr>
          <w:rFonts w:cstheme="minorHAnsi"/>
          <w:u w:val="single"/>
          <w:shd w:val="clear" w:color="auto" w:fill="FFFFFF"/>
        </w:rPr>
        <w:t>Melaleuca alternifolia, topical</w:t>
      </w:r>
      <w:r>
        <w:rPr>
          <w:rFonts w:cstheme="minorHAnsi"/>
          <w:shd w:val="clear" w:color="auto" w:fill="FFFFFF"/>
        </w:rPr>
        <w:t xml:space="preserve">: </w:t>
      </w:r>
      <w:r w:rsidRPr="00C0300E">
        <w:rPr>
          <w:rFonts w:cstheme="minorHAnsi"/>
          <w:i/>
          <w:shd w:val="clear" w:color="auto" w:fill="FFFFFF"/>
        </w:rPr>
        <w:t>not added</w:t>
      </w:r>
    </w:p>
    <w:p w14:paraId="009E19FB" w14:textId="77777777" w:rsidR="00DC2546" w:rsidRDefault="00DC2546" w:rsidP="00DC2546">
      <w:pPr>
        <w:pStyle w:val="ListParagraph"/>
        <w:spacing w:after="0" w:line="240" w:lineRule="auto"/>
        <w:ind w:left="0"/>
        <w:jc w:val="both"/>
        <w:rPr>
          <w:rFonts w:cstheme="minorHAnsi"/>
          <w:shd w:val="clear" w:color="auto" w:fill="FFFFFF"/>
        </w:rPr>
      </w:pPr>
    </w:p>
    <w:tbl>
      <w:tblPr>
        <w:tblStyle w:val="TableGrid"/>
        <w:tblW w:w="0" w:type="auto"/>
        <w:tblLook w:val="04A0" w:firstRow="1" w:lastRow="0" w:firstColumn="1" w:lastColumn="0" w:noHBand="0" w:noVBand="1"/>
      </w:tblPr>
      <w:tblGrid>
        <w:gridCol w:w="10456"/>
      </w:tblGrid>
      <w:tr w:rsidR="00DC2546" w14:paraId="5630F38E" w14:textId="77777777" w:rsidTr="00DC2546">
        <w:tc>
          <w:tcPr>
            <w:tcW w:w="10456" w:type="dxa"/>
          </w:tcPr>
          <w:p w14:paraId="45F1161B" w14:textId="77777777" w:rsidR="00DC2546" w:rsidRPr="00F61BA0" w:rsidRDefault="00DC2546" w:rsidP="00DC2546">
            <w:pPr>
              <w:pStyle w:val="ListParagraph"/>
              <w:ind w:left="0"/>
              <w:jc w:val="both"/>
              <w:rPr>
                <w:rFonts w:cstheme="minorHAnsi"/>
                <w:b/>
                <w:bCs/>
                <w:i/>
                <w:iCs/>
                <w:color w:val="FF0000"/>
                <w:u w:val="single"/>
              </w:rPr>
            </w:pPr>
            <w:r w:rsidRPr="00F61BA0">
              <w:rPr>
                <w:rFonts w:cstheme="minorHAnsi"/>
                <w:b/>
                <w:bCs/>
                <w:i/>
                <w:iCs/>
                <w:color w:val="FF0000"/>
                <w:u w:val="single"/>
              </w:rPr>
              <w:t xml:space="preserve">NEMLC report for the PHC emergencies chapter &amp; respective NEMLC </w:t>
            </w:r>
            <w:r>
              <w:rPr>
                <w:rFonts w:cstheme="minorHAnsi"/>
                <w:b/>
                <w:bCs/>
                <w:i/>
                <w:iCs/>
                <w:color w:val="FF0000"/>
                <w:u w:val="single"/>
              </w:rPr>
              <w:t>recommendation</w:t>
            </w:r>
            <w:r w:rsidRPr="00F61BA0">
              <w:rPr>
                <w:rFonts w:cstheme="minorHAnsi"/>
                <w:b/>
                <w:bCs/>
                <w:i/>
                <w:iCs/>
                <w:color w:val="FF0000"/>
                <w:u w:val="single"/>
              </w:rPr>
              <w:t xml:space="preserve"> (Meeting of 23 June 2022)</w:t>
            </w:r>
          </w:p>
          <w:p w14:paraId="74432F07" w14:textId="77777777" w:rsidR="00DC2546" w:rsidRPr="00DC2546" w:rsidRDefault="00DC2546" w:rsidP="00DC2546">
            <w:pPr>
              <w:pStyle w:val="ListParagraph"/>
              <w:ind w:left="0"/>
              <w:jc w:val="both"/>
              <w:rPr>
                <w:rFonts w:cstheme="minorHAnsi"/>
                <w:i/>
                <w:iCs/>
                <w:color w:val="FF0000"/>
                <w:shd w:val="clear" w:color="auto" w:fill="FFFFFF"/>
              </w:rPr>
            </w:pPr>
            <w:r w:rsidRPr="00DC2546">
              <w:rPr>
                <w:rFonts w:cstheme="minorHAnsi"/>
                <w:i/>
                <w:iCs/>
                <w:color w:val="FF0000"/>
                <w:shd w:val="clear" w:color="auto" w:fill="FFFFFF"/>
              </w:rPr>
              <w:t>Refer to scoping review, below:</w:t>
            </w:r>
          </w:p>
          <w:bookmarkStart w:id="6" w:name="_MON_1717759833"/>
          <w:bookmarkEnd w:id="6"/>
          <w:p w14:paraId="507012EF" w14:textId="77777777" w:rsidR="00DC2546" w:rsidRPr="00DC2546" w:rsidRDefault="00DC2546" w:rsidP="00DC2546">
            <w:pPr>
              <w:pStyle w:val="ListParagraph"/>
              <w:ind w:left="0"/>
              <w:jc w:val="both"/>
              <w:rPr>
                <w:rFonts w:cstheme="minorHAnsi"/>
                <w:i/>
                <w:iCs/>
                <w:color w:val="FF0000"/>
                <w:shd w:val="clear" w:color="auto" w:fill="FFFFFF"/>
              </w:rPr>
            </w:pPr>
            <w:r w:rsidRPr="00DC2546">
              <w:rPr>
                <w:rFonts w:cstheme="minorHAnsi"/>
                <w:i/>
                <w:iCs/>
                <w:color w:val="FF0000"/>
                <w:shd w:val="clear" w:color="auto" w:fill="FFFFFF"/>
              </w:rPr>
              <w:object w:dxaOrig="1543" w:dyaOrig="991" w14:anchorId="07737B05">
                <v:shape id="_x0000_i1031" type="#_x0000_t75" style="width:77.4pt;height:49.8pt" o:ole="">
                  <v:imagedata r:id="rId26" o:title=""/>
                </v:shape>
                <o:OLEObject Type="Embed" ProgID="Word.Document.12" ShapeID="_x0000_i1031" DrawAspect="Icon" ObjectID="_1728018824" r:id="rId27">
                  <o:FieldCodes>\s</o:FieldCodes>
                </o:OLEObject>
              </w:object>
            </w:r>
          </w:p>
          <w:p w14:paraId="76932A2C" w14:textId="77777777" w:rsidR="00DC2546" w:rsidRPr="00DC2546" w:rsidRDefault="00DC2546" w:rsidP="00DC2546">
            <w:pPr>
              <w:jc w:val="both"/>
              <w:rPr>
                <w:rFonts w:ascii="Calibri" w:eastAsia="Calibri" w:hAnsi="Calibri" w:cs="Calibri"/>
                <w:i/>
                <w:iCs/>
                <w:color w:val="FF0000"/>
                <w:szCs w:val="24"/>
              </w:rPr>
            </w:pPr>
            <w:r w:rsidRPr="00DC2546">
              <w:rPr>
                <w:rFonts w:cstheme="minorHAnsi"/>
                <w:b/>
                <w:i/>
                <w:iCs/>
                <w:color w:val="FF0000"/>
                <w:spacing w:val="-2"/>
                <w:szCs w:val="24"/>
              </w:rPr>
              <w:t xml:space="preserve">Recommendation: </w:t>
            </w:r>
            <w:r w:rsidRPr="00DC2546">
              <w:rPr>
                <w:rFonts w:cstheme="minorHAnsi"/>
                <w:i/>
                <w:iCs/>
                <w:color w:val="FF0000"/>
                <w:spacing w:val="-2"/>
                <w:szCs w:val="24"/>
              </w:rPr>
              <w:t>Current standard of care in the STG to be retained – topical povidone iodine for infected burns.</w:t>
            </w:r>
          </w:p>
          <w:p w14:paraId="06C5C18A" w14:textId="77777777" w:rsidR="00DC2546" w:rsidRPr="00DC2546" w:rsidRDefault="00DC2546" w:rsidP="00DC2546">
            <w:pPr>
              <w:jc w:val="both"/>
              <w:rPr>
                <w:rFonts w:cstheme="minorHAnsi"/>
                <w:i/>
                <w:iCs/>
                <w:color w:val="FF0000"/>
                <w:spacing w:val="-2"/>
                <w:szCs w:val="24"/>
              </w:rPr>
            </w:pPr>
            <w:r w:rsidRPr="00DC2546">
              <w:rPr>
                <w:i/>
                <w:iCs/>
                <w:color w:val="FF0000"/>
                <w:spacing w:val="-2"/>
                <w:szCs w:val="24"/>
              </w:rPr>
              <w:t xml:space="preserve">Rationale:  </w:t>
            </w:r>
            <w:r w:rsidRPr="00DC2546">
              <w:rPr>
                <w:rFonts w:cstheme="minorHAnsi"/>
                <w:i/>
                <w:iCs/>
                <w:color w:val="FF0000"/>
                <w:spacing w:val="-2"/>
                <w:szCs w:val="24"/>
              </w:rPr>
              <w:t>No new evidence could be identified for alternative treatment options for septic burns.</w:t>
            </w:r>
          </w:p>
          <w:p w14:paraId="6B9E7FCE" w14:textId="77777777" w:rsidR="00DC2546" w:rsidRPr="00DC2546" w:rsidRDefault="00DC2546" w:rsidP="00DC2546">
            <w:pPr>
              <w:jc w:val="both"/>
              <w:rPr>
                <w:i/>
                <w:iCs/>
                <w:color w:val="FF0000"/>
                <w:szCs w:val="24"/>
              </w:rPr>
            </w:pPr>
            <w:r w:rsidRPr="00DC2546">
              <w:rPr>
                <w:rFonts w:cstheme="minorHAnsi"/>
                <w:b/>
                <w:i/>
                <w:iCs/>
                <w:color w:val="FF0000"/>
                <w:spacing w:val="-2"/>
                <w:szCs w:val="24"/>
              </w:rPr>
              <w:t>Level of Evidence:</w:t>
            </w:r>
            <w:r w:rsidRPr="00DC2546">
              <w:rPr>
                <w:rFonts w:cstheme="minorHAnsi"/>
                <w:i/>
                <w:iCs/>
                <w:color w:val="FF0000"/>
                <w:spacing w:val="-2"/>
                <w:szCs w:val="24"/>
              </w:rPr>
              <w:t xml:space="preserve"> Low to very low certainty</w:t>
            </w:r>
          </w:p>
          <w:p w14:paraId="3A99F646" w14:textId="77777777" w:rsidR="00DC2546" w:rsidRPr="00DC2546" w:rsidRDefault="00DC2546" w:rsidP="00DC2546">
            <w:pPr>
              <w:pStyle w:val="ListParagraph"/>
              <w:ind w:left="0"/>
              <w:jc w:val="both"/>
              <w:rPr>
                <w:bCs/>
                <w:i/>
                <w:iCs/>
                <w:color w:val="FF0000"/>
                <w:szCs w:val="24"/>
              </w:rPr>
            </w:pPr>
            <w:r w:rsidRPr="00DC2546">
              <w:rPr>
                <w:b/>
                <w:bCs/>
                <w:i/>
                <w:iCs/>
                <w:color w:val="FF0000"/>
                <w:szCs w:val="24"/>
              </w:rPr>
              <w:t>Review indicator:</w:t>
            </w:r>
            <w:r w:rsidRPr="00DC2546">
              <w:rPr>
                <w:bCs/>
                <w:i/>
                <w:iCs/>
                <w:color w:val="FF0000"/>
                <w:szCs w:val="24"/>
              </w:rPr>
              <w:t xml:space="preserve"> New evidence sufficient to change the recommendation</w:t>
            </w:r>
          </w:p>
          <w:p w14:paraId="3F89BFC2" w14:textId="77777777" w:rsidR="00DC2546" w:rsidRPr="00DC2546" w:rsidRDefault="00DC2546" w:rsidP="00DC2546">
            <w:pPr>
              <w:pStyle w:val="ListParagraph"/>
              <w:ind w:left="0"/>
              <w:jc w:val="both"/>
              <w:rPr>
                <w:rFonts w:cstheme="minorHAnsi"/>
                <w:i/>
                <w:iCs/>
                <w:color w:val="FF0000"/>
                <w:shd w:val="clear" w:color="auto" w:fill="FFFFFF"/>
              </w:rPr>
            </w:pPr>
          </w:p>
          <w:tbl>
            <w:tblPr>
              <w:tblStyle w:val="TableGrid"/>
              <w:tblW w:w="0" w:type="auto"/>
              <w:tblLook w:val="04A0" w:firstRow="1" w:lastRow="0" w:firstColumn="1" w:lastColumn="0" w:noHBand="0" w:noVBand="1"/>
            </w:tblPr>
            <w:tblGrid>
              <w:gridCol w:w="10230"/>
            </w:tblGrid>
            <w:tr w:rsidR="00DC2546" w:rsidRPr="00DC2546" w14:paraId="1B168A56" w14:textId="77777777" w:rsidTr="006B4253">
              <w:tc>
                <w:tcPr>
                  <w:tcW w:w="10456" w:type="dxa"/>
                </w:tcPr>
                <w:p w14:paraId="228E57A2" w14:textId="77777777" w:rsidR="00DC2546" w:rsidRPr="00DC2546" w:rsidRDefault="00DC2546" w:rsidP="00DC2546">
                  <w:pPr>
                    <w:pStyle w:val="ListParagraph"/>
                    <w:ind w:left="0"/>
                    <w:jc w:val="both"/>
                    <w:rPr>
                      <w:rFonts w:cstheme="minorHAnsi"/>
                      <w:b/>
                      <w:i/>
                      <w:iCs/>
                      <w:color w:val="FF0000"/>
                      <w:u w:val="single"/>
                      <w:shd w:val="clear" w:color="auto" w:fill="FFFFFF"/>
                    </w:rPr>
                  </w:pPr>
                  <w:r w:rsidRPr="00DC2546">
                    <w:rPr>
                      <w:rFonts w:cstheme="minorHAnsi"/>
                      <w:b/>
                      <w:i/>
                      <w:iCs/>
                      <w:color w:val="FF0000"/>
                      <w:u w:val="single"/>
                      <w:shd w:val="clear" w:color="auto" w:fill="FFFFFF"/>
                    </w:rPr>
                    <w:t>NEMLC MEETING OF 23 JUNE 2022:</w:t>
                  </w:r>
                </w:p>
                <w:p w14:paraId="49C4B9BE" w14:textId="77777777" w:rsidR="00DC2546" w:rsidRPr="00DC2546" w:rsidRDefault="00DC2546" w:rsidP="00DC2546">
                  <w:pPr>
                    <w:pStyle w:val="ListParagraph"/>
                    <w:ind w:left="0"/>
                    <w:jc w:val="both"/>
                    <w:rPr>
                      <w:rFonts w:cstheme="minorHAnsi"/>
                      <w:i/>
                      <w:iCs/>
                      <w:color w:val="FF0000"/>
                      <w:shd w:val="clear" w:color="auto" w:fill="FFFFFF"/>
                    </w:rPr>
                  </w:pPr>
                  <w:r w:rsidRPr="00DC2546">
                    <w:rPr>
                      <w:rFonts w:cstheme="minorHAnsi"/>
                      <w:i/>
                      <w:iCs/>
                      <w:color w:val="FF0000"/>
                      <w:shd w:val="clear" w:color="auto" w:fill="FFFFFF"/>
                    </w:rPr>
                    <w:lastRenderedPageBreak/>
                    <w:t>NEMLC accepted the review and proposed recommendation, but recommended that the PHC/Adult Hospital Level Committee consider reviewing other dressings for wounds, noting that this topic would be prioritised in the topic prioritisation project plan and may be reviewed in the next review cycle. Furthermore, it was noted that wound dressings are not funded from the Provincial Pharmaceutical budgets.</w:t>
                  </w:r>
                </w:p>
              </w:tc>
            </w:tr>
          </w:tbl>
          <w:p w14:paraId="44D90F68" w14:textId="77777777" w:rsidR="00DC2546" w:rsidRDefault="00DC2546" w:rsidP="00DC2546">
            <w:pPr>
              <w:pStyle w:val="ListParagraph"/>
              <w:ind w:left="0"/>
              <w:jc w:val="both"/>
              <w:rPr>
                <w:rFonts w:cstheme="minorHAnsi"/>
                <w:shd w:val="clear" w:color="auto" w:fill="FFFFFF"/>
              </w:rPr>
            </w:pPr>
          </w:p>
        </w:tc>
      </w:tr>
    </w:tbl>
    <w:p w14:paraId="536D2B88" w14:textId="77777777" w:rsidR="00DC2546" w:rsidRPr="00DC2546" w:rsidRDefault="00DC2546" w:rsidP="00222ECC">
      <w:pPr>
        <w:spacing w:after="0" w:line="240" w:lineRule="auto"/>
        <w:jc w:val="both"/>
        <w:rPr>
          <w:b/>
          <w:bCs/>
        </w:rPr>
      </w:pPr>
    </w:p>
    <w:p w14:paraId="17F9682F" w14:textId="77777777" w:rsidR="00DC2546" w:rsidRPr="00175090" w:rsidRDefault="00DC2546" w:rsidP="00222ECC">
      <w:pPr>
        <w:spacing w:after="0" w:line="240" w:lineRule="auto"/>
        <w:jc w:val="both"/>
      </w:pPr>
    </w:p>
    <w:sectPr w:rsidR="00DC2546" w:rsidRPr="00175090" w:rsidSect="009B4DF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2CD83" w14:textId="77777777" w:rsidR="00D61E4C" w:rsidRDefault="00D61E4C" w:rsidP="009B4DF7">
      <w:pPr>
        <w:spacing w:after="0" w:line="240" w:lineRule="auto"/>
      </w:pPr>
      <w:r>
        <w:separator/>
      </w:r>
    </w:p>
  </w:endnote>
  <w:endnote w:type="continuationSeparator" w:id="0">
    <w:p w14:paraId="018183DB" w14:textId="77777777" w:rsidR="00D61E4C" w:rsidRDefault="00D61E4C" w:rsidP="009B4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GaramondPro-Regular">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roman"/>
    <w:pitch w:val="fixed"/>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7604497"/>
      <w:docPartObj>
        <w:docPartGallery w:val="Page Numbers (Bottom of Page)"/>
        <w:docPartUnique/>
      </w:docPartObj>
    </w:sdtPr>
    <w:sdtEndPr>
      <w:rPr>
        <w:noProof/>
      </w:rPr>
    </w:sdtEndPr>
    <w:sdtContent>
      <w:p w14:paraId="6D247257" w14:textId="30F99E43" w:rsidR="00F36A37" w:rsidRDefault="00E162A1" w:rsidP="00366146">
        <w:pPr>
          <w:pStyle w:val="Footer"/>
          <w:jc w:val="center"/>
        </w:pPr>
        <w:r w:rsidRPr="00E162A1">
          <w:t>NEMLC report_AdultHosp_Ch20_Emergencies_</w:t>
        </w:r>
        <w:r w:rsidR="00094B0E" w:rsidRPr="00E162A1">
          <w:t>R</w:t>
        </w:r>
        <w:r w:rsidR="00094B0E">
          <w:t>4C</w:t>
        </w:r>
        <w:r w:rsidRPr="00E162A1">
          <w:t>_20October2022_v2</w:t>
        </w:r>
        <w:r w:rsidR="00737463">
          <w:tab/>
        </w:r>
        <w:r w:rsidR="00F36A37">
          <w:t xml:space="preserve"> </w:t>
        </w:r>
        <w:r>
          <w:tab/>
        </w:r>
        <w:r>
          <w:tab/>
        </w:r>
        <w:r w:rsidR="00F36A37">
          <w:fldChar w:fldCharType="begin"/>
        </w:r>
        <w:r w:rsidR="00F36A37">
          <w:instrText xml:space="preserve"> PAGE   \* MERGEFORMAT </w:instrText>
        </w:r>
        <w:r w:rsidR="00F36A37">
          <w:fldChar w:fldCharType="separate"/>
        </w:r>
        <w:r w:rsidR="00B54DEC">
          <w:rPr>
            <w:noProof/>
          </w:rPr>
          <w:t>2</w:t>
        </w:r>
        <w:r w:rsidR="00F36A37">
          <w:rPr>
            <w:noProof/>
          </w:rPr>
          <w:fldChar w:fldCharType="end"/>
        </w:r>
      </w:p>
    </w:sdtContent>
  </w:sdt>
  <w:p w14:paraId="2A436280" w14:textId="77777777" w:rsidR="00F36A37" w:rsidRDefault="00F36A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713CA" w14:textId="77777777" w:rsidR="00D61E4C" w:rsidRDefault="00D61E4C" w:rsidP="009B4DF7">
      <w:pPr>
        <w:spacing w:after="0" w:line="240" w:lineRule="auto"/>
      </w:pPr>
    </w:p>
  </w:footnote>
  <w:footnote w:type="continuationSeparator" w:id="0">
    <w:p w14:paraId="1CC11522" w14:textId="77777777" w:rsidR="00D61E4C" w:rsidRDefault="00D61E4C" w:rsidP="009B4DF7">
      <w:pPr>
        <w:spacing w:after="0" w:line="240" w:lineRule="auto"/>
      </w:pPr>
    </w:p>
  </w:footnote>
  <w:footnote w:id="1">
    <w:p w14:paraId="6BCB099B" w14:textId="6F7DD760" w:rsidR="00987EFB" w:rsidRPr="00987EFB" w:rsidRDefault="00987EFB">
      <w:pPr>
        <w:pStyle w:val="FootnoteText"/>
        <w:rPr>
          <w:sz w:val="18"/>
          <w:szCs w:val="18"/>
        </w:rPr>
      </w:pPr>
      <w:r w:rsidRPr="00987EFB">
        <w:rPr>
          <w:rStyle w:val="FootnoteReference"/>
          <w:sz w:val="18"/>
          <w:szCs w:val="18"/>
        </w:rPr>
        <w:footnoteRef/>
      </w:r>
      <w:r w:rsidRPr="00987EFB">
        <w:rPr>
          <w:sz w:val="18"/>
          <w:szCs w:val="18"/>
        </w:rPr>
        <w:t xml:space="preserve"> Sedation protocols in intensive care:  Jackson DL, Proudfoot CW, Cann KF, Walsh T. A systematic review of the impact of sedation practice in the ICU on resource use, costs and patient safety. Crit Care. 2010;14(2):R59. </w:t>
      </w:r>
      <w:hyperlink r:id="rId1" w:history="1">
        <w:r w:rsidRPr="00987EFB">
          <w:rPr>
            <w:rStyle w:val="Hyperlink"/>
            <w:sz w:val="18"/>
            <w:szCs w:val="18"/>
          </w:rPr>
          <w:t>http://www.ncbi.nlm.nih.gov/pubmed/20380720</w:t>
        </w:r>
      </w:hyperlink>
      <w:r w:rsidRPr="00987EFB">
        <w:rPr>
          <w:sz w:val="18"/>
          <w:szCs w:val="18"/>
        </w:rPr>
        <w:t xml:space="preserve"> </w:t>
      </w:r>
    </w:p>
    <w:p w14:paraId="49BC620E" w14:textId="1D6CEA45" w:rsidR="00987EFB" w:rsidRPr="00987EFB" w:rsidRDefault="00987EFB">
      <w:pPr>
        <w:pStyle w:val="FootnoteText"/>
        <w:rPr>
          <w:i/>
          <w:iCs/>
          <w:sz w:val="16"/>
          <w:szCs w:val="16"/>
          <w:lang w:val="en-GB"/>
        </w:rPr>
      </w:pPr>
      <w:r w:rsidRPr="00987EFB">
        <w:rPr>
          <w:i/>
          <w:iCs/>
          <w:sz w:val="18"/>
          <w:szCs w:val="18"/>
        </w:rPr>
        <w:t>(Low certainty evidence, conditional recommendation)</w:t>
      </w:r>
    </w:p>
  </w:footnote>
  <w:footnote w:id="2">
    <w:p w14:paraId="5A301B02" w14:textId="77777777" w:rsidR="00762942" w:rsidRPr="004450CB" w:rsidRDefault="00762942" w:rsidP="00762942">
      <w:pPr>
        <w:pStyle w:val="FootnoteText"/>
        <w:rPr>
          <w:lang w:val="en-ZA"/>
        </w:rPr>
      </w:pPr>
      <w:r w:rsidRPr="004450CB">
        <w:rPr>
          <w:rStyle w:val="FootnoteReference"/>
          <w:sz w:val="16"/>
          <w:szCs w:val="16"/>
        </w:rPr>
        <w:footnoteRef/>
      </w:r>
      <w:r w:rsidRPr="004450CB">
        <w:rPr>
          <w:sz w:val="16"/>
          <w:szCs w:val="16"/>
        </w:rPr>
        <w:t xml:space="preserve"> </w:t>
      </w:r>
      <w:r w:rsidRPr="004450CB">
        <w:rPr>
          <w:sz w:val="16"/>
          <w:szCs w:val="16"/>
          <w:lang w:val="en-ZA"/>
        </w:rPr>
        <w:t>Minutes of the NEMLC meeting of 23 June 2022.</w:t>
      </w:r>
    </w:p>
  </w:footnote>
  <w:footnote w:id="3">
    <w:p w14:paraId="3E3427D8" w14:textId="7E9D6E23" w:rsidR="00F36A37" w:rsidRPr="0005374A" w:rsidRDefault="00F36A37">
      <w:pPr>
        <w:pStyle w:val="FootnoteText"/>
        <w:rPr>
          <w:rStyle w:val="Hyperlink"/>
          <w:rFonts w:cs="Arial"/>
          <w:sz w:val="16"/>
          <w:szCs w:val="16"/>
        </w:rPr>
      </w:pPr>
      <w:r w:rsidRPr="0005374A">
        <w:rPr>
          <w:rStyle w:val="FootnoteReference"/>
          <w:sz w:val="16"/>
          <w:szCs w:val="16"/>
        </w:rPr>
        <w:footnoteRef/>
      </w:r>
      <w:r w:rsidRPr="0005374A">
        <w:rPr>
          <w:sz w:val="16"/>
          <w:szCs w:val="16"/>
        </w:rPr>
        <w:t xml:space="preserve"> </w:t>
      </w:r>
      <w:r w:rsidRPr="0005374A">
        <w:rPr>
          <w:rFonts w:cs="Arial"/>
          <w:sz w:val="16"/>
          <w:szCs w:val="16"/>
        </w:rPr>
        <w:t xml:space="preserve">Resuscitation Council of South Africa. Advanced Cardiac Arrest Algorithm for Suspected Communicable Disease (Respiratory), 2021. </w:t>
      </w:r>
      <w:hyperlink r:id="rId2" w:history="1">
        <w:r w:rsidRPr="0005374A">
          <w:rPr>
            <w:rStyle w:val="Hyperlink"/>
            <w:rFonts w:cs="Arial"/>
            <w:sz w:val="16"/>
            <w:szCs w:val="16"/>
          </w:rPr>
          <w:t>https://resus.co.za/</w:t>
        </w:r>
      </w:hyperlink>
    </w:p>
    <w:p w14:paraId="78972BFF" w14:textId="21F5EA00" w:rsidR="00F36A37" w:rsidRPr="0005374A" w:rsidRDefault="00F36A37">
      <w:pPr>
        <w:pStyle w:val="FootnoteText"/>
        <w:rPr>
          <w:sz w:val="16"/>
          <w:szCs w:val="16"/>
          <w:lang w:val="en-ZA"/>
        </w:rPr>
      </w:pPr>
      <w:r w:rsidRPr="0005374A">
        <w:rPr>
          <w:rFonts w:cs="Arial"/>
          <w:sz w:val="16"/>
          <w:szCs w:val="16"/>
        </w:rPr>
        <w:t xml:space="preserve">Brown A, Schwarcz L, Counts CR, Barnard LM, Yang BY, Emert JM, et al. Risk for Acquiring Coronavirus Disease Illness among Emergency Medical Service Personnel Exposed to Aerosol-Generating Procedures. Emerg Infect Dis. 2021 Sep;27(9):2340-2348. </w:t>
      </w:r>
      <w:hyperlink r:id="rId3" w:history="1">
        <w:r w:rsidRPr="0005374A">
          <w:rPr>
            <w:rStyle w:val="Hyperlink"/>
            <w:rFonts w:cs="Arial"/>
            <w:sz w:val="16"/>
            <w:szCs w:val="16"/>
          </w:rPr>
          <w:t>https://pubmed.ncbi.nlm.nih.gov/34197282/</w:t>
        </w:r>
      </w:hyperlink>
    </w:p>
  </w:footnote>
  <w:footnote w:id="4">
    <w:p w14:paraId="235D3CD3" w14:textId="77777777" w:rsidR="00A46C88" w:rsidRPr="004450CB" w:rsidRDefault="00A46C88" w:rsidP="00A46C88">
      <w:pPr>
        <w:pStyle w:val="FootnoteText"/>
        <w:rPr>
          <w:lang w:val="en-ZA"/>
        </w:rPr>
      </w:pPr>
      <w:r w:rsidRPr="004450CB">
        <w:rPr>
          <w:rStyle w:val="FootnoteReference"/>
          <w:sz w:val="16"/>
          <w:szCs w:val="16"/>
        </w:rPr>
        <w:footnoteRef/>
      </w:r>
      <w:r w:rsidRPr="004450CB">
        <w:rPr>
          <w:sz w:val="16"/>
          <w:szCs w:val="16"/>
        </w:rPr>
        <w:t xml:space="preserve"> </w:t>
      </w:r>
      <w:r w:rsidRPr="004450CB">
        <w:rPr>
          <w:sz w:val="16"/>
          <w:szCs w:val="16"/>
          <w:lang w:val="en-ZA"/>
        </w:rPr>
        <w:t>Minutes of the NEMLC meeting of 23 June 2022.</w:t>
      </w:r>
    </w:p>
  </w:footnote>
  <w:footnote w:id="5">
    <w:p w14:paraId="0788EAE8" w14:textId="36F81E55" w:rsidR="00F36A37" w:rsidRPr="0005374A" w:rsidRDefault="00F36A37">
      <w:pPr>
        <w:pStyle w:val="FootnoteText"/>
        <w:rPr>
          <w:sz w:val="16"/>
          <w:szCs w:val="16"/>
          <w:lang w:val="en-ZA"/>
        </w:rPr>
      </w:pPr>
      <w:r w:rsidRPr="0005374A">
        <w:rPr>
          <w:rStyle w:val="FootnoteReference"/>
          <w:sz w:val="16"/>
          <w:szCs w:val="16"/>
        </w:rPr>
        <w:footnoteRef/>
      </w:r>
      <w:r w:rsidRPr="0005374A">
        <w:rPr>
          <w:sz w:val="16"/>
          <w:szCs w:val="16"/>
        </w:rPr>
        <w:t xml:space="preserve"> </w:t>
      </w:r>
      <w:r w:rsidRPr="0005374A">
        <w:rPr>
          <w:rFonts w:cs="Arial"/>
          <w:color w:val="212121"/>
          <w:sz w:val="16"/>
          <w:szCs w:val="16"/>
          <w:shd w:val="clear" w:color="auto" w:fill="FFFFFF"/>
        </w:rPr>
        <w:t xml:space="preserve">Atkins DL, Sasson C, Hsu A, Aziz K, Becker LB, Berg RA, et al.; Emergency Cardiovascular Care Committee and Get With the Guidelines-Resuscitation, Adult and Pediatric Task Forces of the American Heart Association in Collaboration With the American Academy of Pediatrics, American Association for Respiratory Care, American Society of Anesthesiologists, and the Society of Critical Care Anesthesiologists. 2022 Interim Guidance to Health Care Providers for Basic and Advanced Cardiac Life Support in Adults, Children, and Neonates With Suspected or Confirmed COVID-19: From the Emergency Cardiovascular Care Committee and Get With The Guidelines-Resuscitation Adult and Pediatric Task Forces of the American Heart Association in Collaboration With the American Academy of Pediatrics, American Association for Respiratory Care, the Society of Critical Care Anesthesiologists, and American Society of Anesthesiologists. Circ Cardiovasc Qual Outcomes. 2022 Apr;15(4):e008900. </w:t>
      </w:r>
      <w:hyperlink r:id="rId4" w:history="1">
        <w:r w:rsidRPr="0005374A">
          <w:rPr>
            <w:rStyle w:val="Hyperlink"/>
            <w:rFonts w:cs="Arial"/>
            <w:sz w:val="16"/>
            <w:szCs w:val="16"/>
            <w:shd w:val="clear" w:color="auto" w:fill="FFFFFF"/>
          </w:rPr>
          <w:t>https://pubmed.ncbi.nlm.nih.gov/35072519/</w:t>
        </w:r>
      </w:hyperlink>
      <w:r w:rsidRPr="0005374A">
        <w:rPr>
          <w:rFonts w:cs="Arial"/>
          <w:color w:val="212121"/>
          <w:sz w:val="16"/>
          <w:szCs w:val="16"/>
          <w:shd w:val="clear" w:color="auto" w:fill="FFFFFF"/>
        </w:rPr>
        <w:t xml:space="preserve"> </w:t>
      </w:r>
      <w:r w:rsidRPr="0005374A">
        <w:rPr>
          <w:rFonts w:cs="Arial"/>
          <w:sz w:val="16"/>
          <w:szCs w:val="16"/>
        </w:rPr>
        <w:t xml:space="preserve">  </w:t>
      </w:r>
    </w:p>
  </w:footnote>
  <w:footnote w:id="6">
    <w:p w14:paraId="0C1D8A91" w14:textId="77777777" w:rsidR="00F36A37" w:rsidRPr="0005374A" w:rsidRDefault="00F36A37" w:rsidP="00E93624">
      <w:pPr>
        <w:pStyle w:val="FootnoteText"/>
        <w:rPr>
          <w:lang w:val="en-ZA"/>
        </w:rPr>
      </w:pPr>
      <w:r w:rsidRPr="0005374A">
        <w:rPr>
          <w:rStyle w:val="FootnoteReference"/>
          <w:sz w:val="16"/>
          <w:szCs w:val="16"/>
        </w:rPr>
        <w:footnoteRef/>
      </w:r>
      <w:r w:rsidRPr="0005374A">
        <w:rPr>
          <w:sz w:val="16"/>
          <w:szCs w:val="16"/>
        </w:rPr>
        <w:t xml:space="preserve"> Brown A, Schwarcz L, Counts CR, Barnard LM, Yang BY, Emert JM, et al. Risk for Acquiring Coronavirus Disease Illness among Emergency Medical Service Personnel Exposed to Aerosol-Generating Procedures. Emerg Infect Dis. 2021 Sep;27(9):2340-2348. </w:t>
      </w:r>
      <w:hyperlink r:id="rId5" w:history="1">
        <w:r w:rsidRPr="0005374A">
          <w:rPr>
            <w:rStyle w:val="Hyperlink"/>
            <w:sz w:val="16"/>
            <w:szCs w:val="16"/>
          </w:rPr>
          <w:t>https://pubmed.ncbi.nlm.nih.gov/34197282/</w:t>
        </w:r>
      </w:hyperlink>
      <w:r>
        <w:t xml:space="preserve"> </w:t>
      </w:r>
    </w:p>
  </w:footnote>
  <w:footnote w:id="7">
    <w:p w14:paraId="1DBC0F38" w14:textId="56685E63" w:rsidR="00426F51" w:rsidRPr="00762942" w:rsidRDefault="00426F51">
      <w:pPr>
        <w:pStyle w:val="FootnoteText"/>
        <w:rPr>
          <w:sz w:val="16"/>
          <w:szCs w:val="16"/>
          <w:lang w:val="en-ZA"/>
        </w:rPr>
      </w:pPr>
      <w:r w:rsidRPr="00762942">
        <w:rPr>
          <w:rStyle w:val="FootnoteReference"/>
          <w:sz w:val="16"/>
          <w:szCs w:val="16"/>
        </w:rPr>
        <w:footnoteRef/>
      </w:r>
      <w:r w:rsidRPr="00762942">
        <w:rPr>
          <w:sz w:val="16"/>
          <w:szCs w:val="16"/>
        </w:rPr>
        <w:t xml:space="preserve"> </w:t>
      </w:r>
      <w:r w:rsidR="00762942" w:rsidRPr="00762942">
        <w:rPr>
          <w:sz w:val="16"/>
          <w:szCs w:val="16"/>
        </w:rPr>
        <w:t>Smith J, Judge B. BET 1: Effectiveness of the precordial thump in restoring heart rhythm following out-of-hospital cardiac arrest. Emerg Med J. 2016 May;33(5):366-7. https://pubmed.ncbi.nlm.nih.gov/27099378/</w:t>
      </w:r>
    </w:p>
  </w:footnote>
  <w:footnote w:id="8">
    <w:p w14:paraId="48CD9777" w14:textId="5CC4AFEE" w:rsidR="00227C1A" w:rsidRPr="00426F51" w:rsidRDefault="00227C1A">
      <w:pPr>
        <w:pStyle w:val="FootnoteText"/>
        <w:rPr>
          <w:lang w:val="en-ZA"/>
        </w:rPr>
      </w:pPr>
      <w:r>
        <w:rPr>
          <w:rStyle w:val="FootnoteReference"/>
        </w:rPr>
        <w:footnoteRef/>
      </w:r>
      <w:r>
        <w:t xml:space="preserve"> </w:t>
      </w:r>
      <w:r w:rsidR="00426F51" w:rsidRPr="00426F51">
        <w:rPr>
          <w:sz w:val="16"/>
          <w:szCs w:val="16"/>
        </w:rPr>
        <w:t>Konstantinides SV, Meyer G, Becattini C, Bueno H, Geersing, G, Harjola V, et al., The Task Force for the diagnosis and management of acute pulmonary embolism of the European Society of Cardiology (ESC). European Respiratory Journal Sep 2019, 54 (3) 1901647. https://pubmed.ncbi.nlm.nih.gov/31473594/</w:t>
      </w:r>
    </w:p>
  </w:footnote>
  <w:footnote w:id="9">
    <w:p w14:paraId="1B17DEE9" w14:textId="77777777" w:rsidR="00762942" w:rsidRPr="004450CB" w:rsidRDefault="00762942" w:rsidP="00762942">
      <w:pPr>
        <w:pStyle w:val="FootnoteText"/>
        <w:rPr>
          <w:lang w:val="en-ZA"/>
        </w:rPr>
      </w:pPr>
      <w:r w:rsidRPr="004450CB">
        <w:rPr>
          <w:rStyle w:val="FootnoteReference"/>
          <w:sz w:val="16"/>
          <w:szCs w:val="16"/>
        </w:rPr>
        <w:footnoteRef/>
      </w:r>
      <w:r w:rsidRPr="004450CB">
        <w:rPr>
          <w:sz w:val="16"/>
          <w:szCs w:val="16"/>
        </w:rPr>
        <w:t xml:space="preserve"> </w:t>
      </w:r>
      <w:r w:rsidRPr="004450CB">
        <w:rPr>
          <w:sz w:val="16"/>
          <w:szCs w:val="16"/>
          <w:lang w:val="en-ZA"/>
        </w:rPr>
        <w:t>Minutes of the NEMLC meeting of 23 June 2022.</w:t>
      </w:r>
    </w:p>
  </w:footnote>
  <w:footnote w:id="10">
    <w:p w14:paraId="374EC53E" w14:textId="72F0D283" w:rsidR="00F36A37" w:rsidRPr="00BB4970" w:rsidRDefault="00F36A37">
      <w:pPr>
        <w:pStyle w:val="FootnoteText"/>
        <w:rPr>
          <w:rFonts w:cstheme="minorHAnsi"/>
          <w:sz w:val="16"/>
          <w:szCs w:val="16"/>
          <w:lang w:val="en-ZA"/>
        </w:rPr>
      </w:pPr>
      <w:r w:rsidRPr="00BB4970">
        <w:rPr>
          <w:rStyle w:val="FootnoteReference"/>
          <w:rFonts w:cstheme="minorHAnsi"/>
          <w:sz w:val="16"/>
          <w:szCs w:val="16"/>
        </w:rPr>
        <w:footnoteRef/>
      </w:r>
      <w:r w:rsidRPr="00BB4970">
        <w:rPr>
          <w:rFonts w:cstheme="minorHAnsi"/>
          <w:sz w:val="16"/>
          <w:szCs w:val="16"/>
        </w:rPr>
        <w:t xml:space="preserve"> </w:t>
      </w:r>
      <w:r w:rsidRPr="00BB4970">
        <w:rPr>
          <w:rFonts w:cstheme="minorHAnsi"/>
          <w:sz w:val="16"/>
          <w:szCs w:val="16"/>
          <w:lang w:val="en-ZA"/>
        </w:rPr>
        <w:t xml:space="preserve">2020 American Heart Association. 2020 American Heart Association Guidelines for CPR and ECC </w:t>
      </w:r>
      <w:hyperlink r:id="rId6" w:history="1">
        <w:r w:rsidRPr="00BB4970">
          <w:rPr>
            <w:rStyle w:val="Hyperlink"/>
            <w:rFonts w:cstheme="minorHAnsi"/>
            <w:sz w:val="16"/>
            <w:szCs w:val="16"/>
            <w:lang w:val="en-ZA"/>
          </w:rPr>
          <w:t>https://cpr.heart.org/en/resuscitation-science/cpr-and-ecc-guidelines</w:t>
        </w:r>
      </w:hyperlink>
    </w:p>
  </w:footnote>
  <w:footnote w:id="11">
    <w:p w14:paraId="3235DFB9" w14:textId="4190A308" w:rsidR="00F36A37" w:rsidRPr="00BB4970" w:rsidRDefault="00F36A37">
      <w:pPr>
        <w:pStyle w:val="FootnoteText"/>
        <w:rPr>
          <w:rFonts w:cstheme="minorHAnsi"/>
          <w:sz w:val="16"/>
          <w:szCs w:val="16"/>
          <w:lang w:val="en-ZA"/>
        </w:rPr>
      </w:pPr>
      <w:r w:rsidRPr="00BB4970">
        <w:rPr>
          <w:rStyle w:val="FootnoteReference"/>
          <w:rFonts w:cstheme="minorHAnsi"/>
          <w:sz w:val="16"/>
          <w:szCs w:val="16"/>
        </w:rPr>
        <w:footnoteRef/>
      </w:r>
      <w:r w:rsidRPr="00BB4970">
        <w:rPr>
          <w:rFonts w:cstheme="minorHAnsi"/>
          <w:sz w:val="16"/>
          <w:szCs w:val="16"/>
        </w:rPr>
        <w:t xml:space="preserve"> </w:t>
      </w:r>
      <w:r w:rsidRPr="00BB4970">
        <w:rPr>
          <w:rFonts w:cstheme="minorHAnsi"/>
          <w:color w:val="212121"/>
          <w:sz w:val="16"/>
          <w:szCs w:val="16"/>
          <w:shd w:val="clear" w:color="auto" w:fill="FFFFFF"/>
        </w:rPr>
        <w:t xml:space="preserve">Ebell MH, Vellinga A, Masterson S, Yun P. Meta-analysis of the accuracy of termination of resuscitation rules for out-of-hospital cardiac arrest. Emerg Med J. 2019 Aug;36(8):479-484. </w:t>
      </w:r>
      <w:hyperlink r:id="rId7" w:history="1">
        <w:r w:rsidRPr="00BB4970">
          <w:rPr>
            <w:rStyle w:val="Hyperlink"/>
            <w:rFonts w:cstheme="minorHAnsi"/>
            <w:sz w:val="16"/>
            <w:szCs w:val="16"/>
            <w:shd w:val="clear" w:color="auto" w:fill="FFFFFF"/>
          </w:rPr>
          <w:t>https://pubmed.ncbi.nlm.nih.gov/31142552/</w:t>
        </w:r>
      </w:hyperlink>
      <w:r w:rsidRPr="00BB4970">
        <w:rPr>
          <w:rFonts w:cstheme="minorHAnsi"/>
          <w:color w:val="212121"/>
          <w:sz w:val="16"/>
          <w:szCs w:val="16"/>
          <w:shd w:val="clear" w:color="auto" w:fill="FFFFFF"/>
        </w:rPr>
        <w:t xml:space="preserve"> </w:t>
      </w:r>
    </w:p>
  </w:footnote>
  <w:footnote w:id="12">
    <w:p w14:paraId="6B6A8798" w14:textId="73864B45" w:rsidR="00F36A37" w:rsidRPr="00E9569F" w:rsidRDefault="00F36A37">
      <w:pPr>
        <w:pStyle w:val="FootnoteText"/>
        <w:rPr>
          <w:sz w:val="16"/>
          <w:szCs w:val="16"/>
          <w:lang w:val="en-ZA"/>
        </w:rPr>
      </w:pPr>
      <w:r w:rsidRPr="00E9569F">
        <w:rPr>
          <w:rStyle w:val="FootnoteReference"/>
          <w:rFonts w:cstheme="minorHAnsi"/>
          <w:sz w:val="16"/>
          <w:szCs w:val="16"/>
        </w:rPr>
        <w:footnoteRef/>
      </w:r>
      <w:r w:rsidRPr="00E9569F">
        <w:rPr>
          <w:rFonts w:cstheme="minorHAnsi"/>
          <w:sz w:val="16"/>
          <w:szCs w:val="16"/>
        </w:rPr>
        <w:t xml:space="preserve"> </w:t>
      </w:r>
      <w:r w:rsidRPr="00E9569F">
        <w:rPr>
          <w:rFonts w:cstheme="minorHAnsi"/>
          <w:color w:val="212121"/>
          <w:sz w:val="16"/>
          <w:szCs w:val="16"/>
          <w:shd w:val="clear" w:color="auto" w:fill="FFFFFF"/>
        </w:rPr>
        <w:t xml:space="preserve">Lin YY, Lai YY, Chang HC, Lu CH, Chiu PW, Kuo YS, Huang SP, et al. Predictive performances of ALS and BLS termination of resuscitation rules in out-of-hospital cardiac arrest for different resuscitation protocols. BMC Emerg Med. 2022 Mar 27;22(1):53. </w:t>
      </w:r>
      <w:hyperlink r:id="rId8" w:history="1">
        <w:r w:rsidRPr="00E9569F">
          <w:rPr>
            <w:rStyle w:val="Hyperlink"/>
            <w:rFonts w:cstheme="minorHAnsi"/>
            <w:sz w:val="16"/>
            <w:szCs w:val="16"/>
            <w:shd w:val="clear" w:color="auto" w:fill="FFFFFF"/>
          </w:rPr>
          <w:t>https://pubmed.ncbi.nlm.nih.gov/35346055/</w:t>
        </w:r>
      </w:hyperlink>
      <w:r w:rsidRPr="00E9569F">
        <w:rPr>
          <w:rFonts w:ascii="Segoe UI" w:hAnsi="Segoe UI" w:cs="Segoe UI"/>
          <w:color w:val="212121"/>
          <w:sz w:val="16"/>
          <w:szCs w:val="16"/>
          <w:shd w:val="clear" w:color="auto" w:fill="FFFFFF"/>
        </w:rPr>
        <w:t xml:space="preserve"> </w:t>
      </w:r>
    </w:p>
  </w:footnote>
  <w:footnote w:id="13">
    <w:p w14:paraId="2B082B5F" w14:textId="50190379" w:rsidR="00E9569F" w:rsidRPr="00E9569F" w:rsidRDefault="00E9569F">
      <w:pPr>
        <w:pStyle w:val="FootnoteText"/>
        <w:rPr>
          <w:lang w:val="en-ZA"/>
        </w:rPr>
      </w:pPr>
      <w:r w:rsidRPr="00E9569F">
        <w:rPr>
          <w:rStyle w:val="FootnoteReference"/>
          <w:sz w:val="16"/>
          <w:szCs w:val="16"/>
        </w:rPr>
        <w:footnoteRef/>
      </w:r>
      <w:r w:rsidRPr="00E9569F">
        <w:rPr>
          <w:sz w:val="16"/>
          <w:szCs w:val="16"/>
        </w:rPr>
        <w:t xml:space="preserve"> </w:t>
      </w:r>
      <w:r w:rsidRPr="00E9569F">
        <w:rPr>
          <w:sz w:val="16"/>
          <w:szCs w:val="16"/>
          <w:lang w:val="en-ZA"/>
        </w:rPr>
        <w:t>Minutes of the NEMLC meeting of the 24 February 2022</w:t>
      </w:r>
    </w:p>
  </w:footnote>
  <w:footnote w:id="14">
    <w:p w14:paraId="43FC9F7D" w14:textId="77777777" w:rsidR="00CD2937" w:rsidRPr="000B1C4C" w:rsidRDefault="00CD2937" w:rsidP="00CD2937">
      <w:pPr>
        <w:pStyle w:val="FootnoteText"/>
        <w:rPr>
          <w:sz w:val="16"/>
          <w:szCs w:val="16"/>
          <w:lang w:val="en-ZA"/>
        </w:rPr>
      </w:pPr>
      <w:r w:rsidRPr="000B1C4C">
        <w:rPr>
          <w:rStyle w:val="FootnoteReference"/>
          <w:sz w:val="16"/>
          <w:szCs w:val="16"/>
        </w:rPr>
        <w:footnoteRef/>
      </w:r>
      <w:r w:rsidRPr="000B1C4C">
        <w:rPr>
          <w:sz w:val="16"/>
          <w:szCs w:val="16"/>
        </w:rPr>
        <w:t xml:space="preserve"> Dankiewicz J, Cronberg T, Lilja G, Jakobsen JC, Levin H, et al.; TTM2 Trial Investigators. Hypothermia versus Normothermia after Out-of-Hospital Cardiac Arrest. N Engl J Med. 2021 Jun 17;384(24):2283-2294</w:t>
      </w:r>
      <w:r>
        <w:rPr>
          <w:sz w:val="16"/>
          <w:szCs w:val="16"/>
        </w:rPr>
        <w:t xml:space="preserve">. </w:t>
      </w:r>
      <w:r w:rsidRPr="000B1C4C">
        <w:rPr>
          <w:sz w:val="16"/>
          <w:szCs w:val="16"/>
        </w:rPr>
        <w:t>https://pubmed.ncbi.nlm.nih.gov/34133859/</w:t>
      </w:r>
    </w:p>
  </w:footnote>
  <w:footnote w:id="15">
    <w:p w14:paraId="6D6CD511" w14:textId="77777777" w:rsidR="003F14C9" w:rsidRPr="004450CB" w:rsidRDefault="003F14C9" w:rsidP="003F14C9">
      <w:pPr>
        <w:pStyle w:val="FootnoteText"/>
        <w:rPr>
          <w:lang w:val="en-ZA"/>
        </w:rPr>
      </w:pPr>
      <w:r w:rsidRPr="004450CB">
        <w:rPr>
          <w:rStyle w:val="FootnoteReference"/>
          <w:sz w:val="16"/>
          <w:szCs w:val="16"/>
        </w:rPr>
        <w:footnoteRef/>
      </w:r>
      <w:r w:rsidRPr="004450CB">
        <w:rPr>
          <w:sz w:val="16"/>
          <w:szCs w:val="16"/>
        </w:rPr>
        <w:t xml:space="preserve"> </w:t>
      </w:r>
      <w:r w:rsidRPr="004450CB">
        <w:rPr>
          <w:sz w:val="16"/>
          <w:szCs w:val="16"/>
          <w:lang w:val="en-ZA"/>
        </w:rPr>
        <w:t>Minutes of the NEMLC meeting of 23 June 2022.</w:t>
      </w:r>
    </w:p>
  </w:footnote>
  <w:footnote w:id="16">
    <w:p w14:paraId="028A195B" w14:textId="77777777" w:rsidR="00144B02" w:rsidRPr="001A5B58" w:rsidRDefault="00144B02" w:rsidP="00144B02">
      <w:pPr>
        <w:pStyle w:val="FootnoteText"/>
        <w:rPr>
          <w:lang w:val="en-ZA"/>
        </w:rPr>
      </w:pPr>
      <w:r>
        <w:rPr>
          <w:rStyle w:val="FootnoteReference"/>
        </w:rPr>
        <w:footnoteRef/>
      </w:r>
      <w:r>
        <w:t xml:space="preserve"> </w:t>
      </w:r>
      <w:r w:rsidRPr="001A5B58">
        <w:rPr>
          <w:sz w:val="16"/>
        </w:rPr>
        <w:t xml:space="preserve">Immunization stress-related response. A manual for program managers and health professionals to prevent, identify and respond to stress related responses following immunization. Geneva: World Health Organization; 2019. </w:t>
      </w:r>
      <w:hyperlink r:id="rId9" w:history="1">
        <w:r w:rsidRPr="003B288C">
          <w:rPr>
            <w:rStyle w:val="Hyperlink"/>
            <w:sz w:val="16"/>
          </w:rPr>
          <w:t>https://apps.who.int/iris/handle/10665/330277</w:t>
        </w:r>
      </w:hyperlink>
      <w:r>
        <w:rPr>
          <w:sz w:val="16"/>
        </w:rPr>
        <w:t xml:space="preserve"> </w:t>
      </w:r>
    </w:p>
  </w:footnote>
  <w:footnote w:id="17">
    <w:p w14:paraId="28ACEC57" w14:textId="77777777" w:rsidR="00B14757" w:rsidRPr="004450CB" w:rsidRDefault="00B14757" w:rsidP="00B14757">
      <w:pPr>
        <w:pStyle w:val="FootnoteText"/>
        <w:rPr>
          <w:lang w:val="en-ZA"/>
        </w:rPr>
      </w:pPr>
      <w:r w:rsidRPr="004450CB">
        <w:rPr>
          <w:rStyle w:val="FootnoteReference"/>
          <w:sz w:val="16"/>
          <w:szCs w:val="16"/>
        </w:rPr>
        <w:footnoteRef/>
      </w:r>
      <w:r w:rsidRPr="004450CB">
        <w:rPr>
          <w:sz w:val="16"/>
          <w:szCs w:val="16"/>
        </w:rPr>
        <w:t xml:space="preserve"> </w:t>
      </w:r>
      <w:r w:rsidRPr="004450CB">
        <w:rPr>
          <w:sz w:val="16"/>
          <w:szCs w:val="16"/>
          <w:lang w:val="en-ZA"/>
        </w:rPr>
        <w:t>Minutes of the NEMLC meeting of 23 June 2022.</w:t>
      </w:r>
    </w:p>
  </w:footnote>
  <w:footnote w:id="18">
    <w:p w14:paraId="5AC5B3B7" w14:textId="77777777" w:rsidR="00F61BA0" w:rsidRPr="004110DB" w:rsidRDefault="00F61BA0" w:rsidP="00F61BA0">
      <w:pPr>
        <w:pStyle w:val="FootnoteText"/>
        <w:rPr>
          <w:sz w:val="16"/>
          <w:szCs w:val="16"/>
          <w:lang w:val="en-ZA"/>
        </w:rPr>
      </w:pPr>
      <w:r w:rsidRPr="004110DB">
        <w:rPr>
          <w:rStyle w:val="FootnoteReference"/>
          <w:sz w:val="16"/>
          <w:szCs w:val="16"/>
        </w:rPr>
        <w:footnoteRef/>
      </w:r>
      <w:r w:rsidRPr="004110DB">
        <w:rPr>
          <w:sz w:val="16"/>
          <w:szCs w:val="16"/>
        </w:rPr>
        <w:t xml:space="preserve"> Day E, Bentham PW, Callaghan R, Kuruvilla T, George S. Thiamine for prevention and treatment of Wernicke-Korsakoff Syndrome in people who abuse alcohol. Cochrane Database Syst Rev. 2013 Jul 1;2013(7):CD004033. </w:t>
      </w:r>
      <w:hyperlink r:id="rId10" w:history="1">
        <w:r w:rsidRPr="00AB1429">
          <w:rPr>
            <w:rStyle w:val="Hyperlink"/>
            <w:sz w:val="16"/>
            <w:szCs w:val="16"/>
          </w:rPr>
          <w:t>https://pubmed.ncbi.nlm.nih.gov/23818100/</w:t>
        </w:r>
      </w:hyperlink>
      <w:r>
        <w:rPr>
          <w:sz w:val="16"/>
          <w:szCs w:val="16"/>
        </w:rPr>
        <w:t xml:space="preserve"> </w:t>
      </w:r>
    </w:p>
  </w:footnote>
  <w:footnote w:id="19">
    <w:p w14:paraId="6D8C5CFA" w14:textId="77777777" w:rsidR="00F61BA0" w:rsidRPr="004110DB" w:rsidRDefault="00F61BA0" w:rsidP="00F61BA0">
      <w:pPr>
        <w:pStyle w:val="FootnoteText"/>
        <w:rPr>
          <w:sz w:val="16"/>
          <w:szCs w:val="16"/>
          <w:lang w:val="en-ZA"/>
        </w:rPr>
      </w:pPr>
      <w:r w:rsidRPr="004110DB">
        <w:rPr>
          <w:rStyle w:val="FootnoteReference"/>
          <w:sz w:val="16"/>
          <w:szCs w:val="16"/>
        </w:rPr>
        <w:footnoteRef/>
      </w:r>
      <w:r w:rsidRPr="004110DB">
        <w:rPr>
          <w:sz w:val="16"/>
          <w:szCs w:val="16"/>
        </w:rPr>
        <w:t xml:space="preserve"> Ambrose ML, Bowden SC, Whelan G. Thiamin treatment and working memory function of alcohol-dependent people: preliminary findings. Alcohol Clin Exp Res. 2001 Jan;25(1):112-6. </w:t>
      </w:r>
      <w:hyperlink r:id="rId11" w:history="1">
        <w:r w:rsidRPr="00AB1429">
          <w:rPr>
            <w:rStyle w:val="Hyperlink"/>
            <w:sz w:val="16"/>
            <w:szCs w:val="16"/>
          </w:rPr>
          <w:t>https://pubmed.ncbi.nlm.nih.gov/11198705/</w:t>
        </w:r>
      </w:hyperlink>
      <w:r>
        <w:rPr>
          <w:sz w:val="16"/>
          <w:szCs w:val="16"/>
        </w:rPr>
        <w:t xml:space="preserve"> </w:t>
      </w:r>
    </w:p>
  </w:footnote>
  <w:footnote w:id="20">
    <w:p w14:paraId="3CD7D96F" w14:textId="77777777" w:rsidR="00F61BA0" w:rsidRPr="00D30D6D" w:rsidRDefault="00F61BA0" w:rsidP="00F61BA0">
      <w:pPr>
        <w:pStyle w:val="FootnoteText"/>
        <w:rPr>
          <w:sz w:val="16"/>
          <w:szCs w:val="16"/>
          <w:lang w:val="en-ZA"/>
        </w:rPr>
      </w:pPr>
      <w:r w:rsidRPr="00D30D6D">
        <w:rPr>
          <w:rStyle w:val="FootnoteReference"/>
          <w:sz w:val="16"/>
          <w:szCs w:val="16"/>
        </w:rPr>
        <w:footnoteRef/>
      </w:r>
      <w:r w:rsidRPr="00D30D6D">
        <w:rPr>
          <w:sz w:val="16"/>
          <w:szCs w:val="16"/>
        </w:rPr>
        <w:t xml:space="preserve"> </w:t>
      </w:r>
      <w:r w:rsidRPr="00D30D6D">
        <w:rPr>
          <w:sz w:val="16"/>
          <w:szCs w:val="16"/>
          <w:lang w:val="en-ZA"/>
        </w:rPr>
        <w:t>SAMF, 20</w:t>
      </w:r>
      <w:r>
        <w:rPr>
          <w:sz w:val="16"/>
          <w:szCs w:val="16"/>
          <w:lang w:val="en-ZA"/>
        </w:rPr>
        <w:t>22</w:t>
      </w:r>
    </w:p>
  </w:footnote>
  <w:footnote w:id="21">
    <w:p w14:paraId="3FBD3F7B" w14:textId="77777777" w:rsidR="00F61BA0" w:rsidRPr="00D30D6D" w:rsidRDefault="00F61BA0" w:rsidP="00F61BA0">
      <w:pPr>
        <w:pStyle w:val="FootnoteText"/>
        <w:rPr>
          <w:lang w:val="en-ZA"/>
        </w:rPr>
      </w:pPr>
      <w:r w:rsidRPr="00D30D6D">
        <w:rPr>
          <w:rStyle w:val="FootnoteReference"/>
          <w:sz w:val="16"/>
          <w:szCs w:val="16"/>
        </w:rPr>
        <w:footnoteRef/>
      </w:r>
      <w:r w:rsidRPr="00D30D6D">
        <w:rPr>
          <w:sz w:val="16"/>
          <w:szCs w:val="16"/>
        </w:rPr>
        <w:t xml:space="preserve"> </w:t>
      </w:r>
      <w:r w:rsidRPr="00D30D6D">
        <w:rPr>
          <w:sz w:val="16"/>
          <w:szCs w:val="16"/>
          <w:lang w:val="en-ZA"/>
        </w:rPr>
        <w:t>BNF, 20</w:t>
      </w:r>
      <w:r>
        <w:rPr>
          <w:sz w:val="16"/>
          <w:szCs w:val="16"/>
          <w:lang w:val="en-ZA"/>
        </w:rPr>
        <w:t>20</w:t>
      </w:r>
    </w:p>
  </w:footnote>
  <w:footnote w:id="22">
    <w:p w14:paraId="0E79F06B" w14:textId="77777777" w:rsidR="00B14757" w:rsidRPr="004450CB" w:rsidRDefault="00B14757" w:rsidP="00B14757">
      <w:pPr>
        <w:pStyle w:val="FootnoteText"/>
        <w:rPr>
          <w:lang w:val="en-ZA"/>
        </w:rPr>
      </w:pPr>
      <w:r w:rsidRPr="004450CB">
        <w:rPr>
          <w:rStyle w:val="FootnoteReference"/>
          <w:sz w:val="16"/>
          <w:szCs w:val="16"/>
        </w:rPr>
        <w:footnoteRef/>
      </w:r>
      <w:r w:rsidRPr="004450CB">
        <w:rPr>
          <w:sz w:val="16"/>
          <w:szCs w:val="16"/>
        </w:rPr>
        <w:t xml:space="preserve"> </w:t>
      </w:r>
      <w:r w:rsidRPr="004450CB">
        <w:rPr>
          <w:sz w:val="16"/>
          <w:szCs w:val="16"/>
          <w:lang w:val="en-ZA"/>
        </w:rPr>
        <w:t>Minutes of the NEMLC meeting of 23 June 2022.</w:t>
      </w:r>
    </w:p>
  </w:footnote>
  <w:footnote w:id="23">
    <w:p w14:paraId="0136347A" w14:textId="77777777" w:rsidR="00DC2546" w:rsidRPr="004450CB" w:rsidRDefault="00DC2546" w:rsidP="00DC2546">
      <w:pPr>
        <w:pStyle w:val="FootnoteText"/>
        <w:rPr>
          <w:lang w:val="en-ZA"/>
        </w:rPr>
      </w:pPr>
      <w:r w:rsidRPr="004450CB">
        <w:rPr>
          <w:rStyle w:val="FootnoteReference"/>
          <w:sz w:val="16"/>
          <w:szCs w:val="16"/>
        </w:rPr>
        <w:footnoteRef/>
      </w:r>
      <w:r w:rsidRPr="004450CB">
        <w:rPr>
          <w:sz w:val="16"/>
          <w:szCs w:val="16"/>
        </w:rPr>
        <w:t xml:space="preserve"> </w:t>
      </w:r>
      <w:r w:rsidRPr="004450CB">
        <w:rPr>
          <w:sz w:val="16"/>
          <w:szCs w:val="16"/>
          <w:lang w:val="en-ZA"/>
        </w:rPr>
        <w:t>Minutes of the NEMLC meeting of 23 June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5306047"/>
      <w:docPartObj>
        <w:docPartGallery w:val="Watermarks"/>
        <w:docPartUnique/>
      </w:docPartObj>
    </w:sdtPr>
    <w:sdtContent>
      <w:p w14:paraId="79712237" w14:textId="6CC7A986" w:rsidR="00F36A37" w:rsidRDefault="00000000">
        <w:pPr>
          <w:pStyle w:val="Header"/>
        </w:pPr>
        <w:r>
          <w:rPr>
            <w:noProof/>
          </w:rPr>
          <w:pict w14:anchorId="57753D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1025" type="#_x0000_t136" style="position:absolute;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57F2C"/>
    <w:multiLevelType w:val="hybridMultilevel"/>
    <w:tmpl w:val="A4ACC4EE"/>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15:restartNumberingAfterBreak="0">
    <w:nsid w:val="1A7069F5"/>
    <w:multiLevelType w:val="hybridMultilevel"/>
    <w:tmpl w:val="67DE456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1C8D0820"/>
    <w:multiLevelType w:val="hybridMultilevel"/>
    <w:tmpl w:val="8CB0A228"/>
    <w:lvl w:ilvl="0" w:tplc="4378D6DE">
      <w:start w:val="1"/>
      <w:numFmt w:val="bullet"/>
      <w:pStyle w:val="ep4"/>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Arial" w:hint="default"/>
      </w:rPr>
    </w:lvl>
    <w:lvl w:ilvl="2" w:tplc="1C090005">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Arial"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Arial"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20784876"/>
    <w:multiLevelType w:val="hybridMultilevel"/>
    <w:tmpl w:val="19C8879E"/>
    <w:lvl w:ilvl="0" w:tplc="63B22ADA">
      <w:start w:val="1"/>
      <w:numFmt w:val="bullet"/>
      <w:lvlText w:val="―"/>
      <w:lvlJc w:val="left"/>
      <w:pPr>
        <w:ind w:left="862" w:hanging="360"/>
      </w:pPr>
      <w:rPr>
        <w:rFonts w:ascii="Calibri" w:hAnsi="Calibri" w:hint="default"/>
      </w:rPr>
    </w:lvl>
    <w:lvl w:ilvl="1" w:tplc="1C090003" w:tentative="1">
      <w:start w:val="1"/>
      <w:numFmt w:val="bullet"/>
      <w:lvlText w:val="o"/>
      <w:lvlJc w:val="left"/>
      <w:pPr>
        <w:ind w:left="1582" w:hanging="360"/>
      </w:pPr>
      <w:rPr>
        <w:rFonts w:ascii="Courier New" w:hAnsi="Courier New" w:cs="Courier New" w:hint="default"/>
      </w:rPr>
    </w:lvl>
    <w:lvl w:ilvl="2" w:tplc="1C090005" w:tentative="1">
      <w:start w:val="1"/>
      <w:numFmt w:val="bullet"/>
      <w:lvlText w:val=""/>
      <w:lvlJc w:val="left"/>
      <w:pPr>
        <w:ind w:left="2302" w:hanging="360"/>
      </w:pPr>
      <w:rPr>
        <w:rFonts w:ascii="Wingdings" w:hAnsi="Wingdings" w:hint="default"/>
      </w:rPr>
    </w:lvl>
    <w:lvl w:ilvl="3" w:tplc="1C090001" w:tentative="1">
      <w:start w:val="1"/>
      <w:numFmt w:val="bullet"/>
      <w:lvlText w:val=""/>
      <w:lvlJc w:val="left"/>
      <w:pPr>
        <w:ind w:left="3022" w:hanging="360"/>
      </w:pPr>
      <w:rPr>
        <w:rFonts w:ascii="Symbol" w:hAnsi="Symbol" w:hint="default"/>
      </w:rPr>
    </w:lvl>
    <w:lvl w:ilvl="4" w:tplc="1C090003" w:tentative="1">
      <w:start w:val="1"/>
      <w:numFmt w:val="bullet"/>
      <w:lvlText w:val="o"/>
      <w:lvlJc w:val="left"/>
      <w:pPr>
        <w:ind w:left="3742" w:hanging="360"/>
      </w:pPr>
      <w:rPr>
        <w:rFonts w:ascii="Courier New" w:hAnsi="Courier New" w:cs="Courier New" w:hint="default"/>
      </w:rPr>
    </w:lvl>
    <w:lvl w:ilvl="5" w:tplc="1C090005" w:tentative="1">
      <w:start w:val="1"/>
      <w:numFmt w:val="bullet"/>
      <w:lvlText w:val=""/>
      <w:lvlJc w:val="left"/>
      <w:pPr>
        <w:ind w:left="4462" w:hanging="360"/>
      </w:pPr>
      <w:rPr>
        <w:rFonts w:ascii="Wingdings" w:hAnsi="Wingdings" w:hint="default"/>
      </w:rPr>
    </w:lvl>
    <w:lvl w:ilvl="6" w:tplc="1C090001" w:tentative="1">
      <w:start w:val="1"/>
      <w:numFmt w:val="bullet"/>
      <w:lvlText w:val=""/>
      <w:lvlJc w:val="left"/>
      <w:pPr>
        <w:ind w:left="5182" w:hanging="360"/>
      </w:pPr>
      <w:rPr>
        <w:rFonts w:ascii="Symbol" w:hAnsi="Symbol" w:hint="default"/>
      </w:rPr>
    </w:lvl>
    <w:lvl w:ilvl="7" w:tplc="1C090003" w:tentative="1">
      <w:start w:val="1"/>
      <w:numFmt w:val="bullet"/>
      <w:lvlText w:val="o"/>
      <w:lvlJc w:val="left"/>
      <w:pPr>
        <w:ind w:left="5902" w:hanging="360"/>
      </w:pPr>
      <w:rPr>
        <w:rFonts w:ascii="Courier New" w:hAnsi="Courier New" w:cs="Courier New" w:hint="default"/>
      </w:rPr>
    </w:lvl>
    <w:lvl w:ilvl="8" w:tplc="1C090005" w:tentative="1">
      <w:start w:val="1"/>
      <w:numFmt w:val="bullet"/>
      <w:lvlText w:val=""/>
      <w:lvlJc w:val="left"/>
      <w:pPr>
        <w:ind w:left="6622" w:hanging="360"/>
      </w:pPr>
      <w:rPr>
        <w:rFonts w:ascii="Wingdings" w:hAnsi="Wingdings" w:hint="default"/>
      </w:rPr>
    </w:lvl>
  </w:abstractNum>
  <w:abstractNum w:abstractNumId="4" w15:restartNumberingAfterBreak="0">
    <w:nsid w:val="23AF2AF7"/>
    <w:multiLevelType w:val="hybridMultilevel"/>
    <w:tmpl w:val="011606B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15:restartNumberingAfterBreak="0">
    <w:nsid w:val="257C4B9C"/>
    <w:multiLevelType w:val="hybridMultilevel"/>
    <w:tmpl w:val="50146BDE"/>
    <w:lvl w:ilvl="0" w:tplc="08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Arial"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Arial"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Arial" w:hint="default"/>
      </w:rPr>
    </w:lvl>
    <w:lvl w:ilvl="8" w:tplc="1C090005">
      <w:start w:val="1"/>
      <w:numFmt w:val="bullet"/>
      <w:lvlText w:val=""/>
      <w:lvlJc w:val="left"/>
      <w:pPr>
        <w:ind w:left="6120" w:hanging="360"/>
      </w:pPr>
      <w:rPr>
        <w:rFonts w:ascii="Wingdings" w:hAnsi="Wingdings" w:hint="default"/>
      </w:rPr>
    </w:lvl>
  </w:abstractNum>
  <w:abstractNum w:abstractNumId="6" w15:restartNumberingAfterBreak="0">
    <w:nsid w:val="25F13B20"/>
    <w:multiLevelType w:val="hybridMultilevel"/>
    <w:tmpl w:val="0E148136"/>
    <w:lvl w:ilvl="0" w:tplc="48E00C04">
      <w:start w:val="1"/>
      <w:numFmt w:val="bullet"/>
      <w:lvlText w:val="»"/>
      <w:lvlJc w:val="left"/>
      <w:pPr>
        <w:ind w:left="360" w:hanging="360"/>
      </w:pPr>
      <w:rPr>
        <w:rFonts w:ascii="Arial" w:hAnsi="Arial" w:hint="default"/>
        <w:b w:val="0"/>
        <w:i w:val="0"/>
        <w:color w:val="000000"/>
        <w:sz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15:restartNumberingAfterBreak="0">
    <w:nsid w:val="27691122"/>
    <w:multiLevelType w:val="hybridMultilevel"/>
    <w:tmpl w:val="35347A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893634"/>
    <w:multiLevelType w:val="multilevel"/>
    <w:tmpl w:val="5A5264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B731F18"/>
    <w:multiLevelType w:val="hybridMultilevel"/>
    <w:tmpl w:val="FE385DA6"/>
    <w:lvl w:ilvl="0" w:tplc="07689CDE">
      <w:start w:val="1"/>
      <w:numFmt w:val="bullet"/>
      <w:pStyle w:val="Style3"/>
      <w:lvlText w:val=""/>
      <w:lvlJc w:val="left"/>
      <w:pPr>
        <w:ind w:left="360" w:hanging="360"/>
      </w:pPr>
      <w:rPr>
        <w:rFonts w:ascii="Symbol" w:hAnsi="Symbol" w:hint="default"/>
        <w:color w:val="auto"/>
        <w:sz w:val="18"/>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0E87DAE"/>
    <w:multiLevelType w:val="hybridMultilevel"/>
    <w:tmpl w:val="5FCA3910"/>
    <w:lvl w:ilvl="0" w:tplc="669CCA1E">
      <w:numFmt w:val="none"/>
      <w:lvlText w:val="»"/>
      <w:lvlJc w:val="left"/>
      <w:pPr>
        <w:tabs>
          <w:tab w:val="num" w:pos="239"/>
        </w:tabs>
        <w:ind w:left="-121" w:firstLine="0"/>
      </w:pPr>
      <w:rPr>
        <w:rFonts w:ascii="Arial" w:hAnsi="Arial" w:cs="Arial" w:hint="default"/>
        <w:strike w:val="0"/>
        <w:color w:val="000000"/>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29339F"/>
    <w:multiLevelType w:val="hybridMultilevel"/>
    <w:tmpl w:val="214269AC"/>
    <w:lvl w:ilvl="0" w:tplc="1C09001B">
      <w:start w:val="1"/>
      <w:numFmt w:val="lowerRoman"/>
      <w:lvlText w:val="%1."/>
      <w:lvlJc w:val="right"/>
      <w:pPr>
        <w:ind w:left="502" w:hanging="360"/>
      </w:pPr>
    </w:lvl>
    <w:lvl w:ilvl="1" w:tplc="1C090019" w:tentative="1">
      <w:start w:val="1"/>
      <w:numFmt w:val="lowerLetter"/>
      <w:lvlText w:val="%2."/>
      <w:lvlJc w:val="left"/>
      <w:pPr>
        <w:ind w:left="1222" w:hanging="360"/>
      </w:pPr>
    </w:lvl>
    <w:lvl w:ilvl="2" w:tplc="1C09001B" w:tentative="1">
      <w:start w:val="1"/>
      <w:numFmt w:val="lowerRoman"/>
      <w:lvlText w:val="%3."/>
      <w:lvlJc w:val="right"/>
      <w:pPr>
        <w:ind w:left="1942" w:hanging="180"/>
      </w:pPr>
    </w:lvl>
    <w:lvl w:ilvl="3" w:tplc="1C09000F" w:tentative="1">
      <w:start w:val="1"/>
      <w:numFmt w:val="decimal"/>
      <w:lvlText w:val="%4."/>
      <w:lvlJc w:val="left"/>
      <w:pPr>
        <w:ind w:left="2662" w:hanging="360"/>
      </w:pPr>
    </w:lvl>
    <w:lvl w:ilvl="4" w:tplc="1C090019" w:tentative="1">
      <w:start w:val="1"/>
      <w:numFmt w:val="lowerLetter"/>
      <w:lvlText w:val="%5."/>
      <w:lvlJc w:val="left"/>
      <w:pPr>
        <w:ind w:left="3382" w:hanging="360"/>
      </w:pPr>
    </w:lvl>
    <w:lvl w:ilvl="5" w:tplc="1C09001B" w:tentative="1">
      <w:start w:val="1"/>
      <w:numFmt w:val="lowerRoman"/>
      <w:lvlText w:val="%6."/>
      <w:lvlJc w:val="right"/>
      <w:pPr>
        <w:ind w:left="4102" w:hanging="180"/>
      </w:pPr>
    </w:lvl>
    <w:lvl w:ilvl="6" w:tplc="1C09000F" w:tentative="1">
      <w:start w:val="1"/>
      <w:numFmt w:val="decimal"/>
      <w:lvlText w:val="%7."/>
      <w:lvlJc w:val="left"/>
      <w:pPr>
        <w:ind w:left="4822" w:hanging="360"/>
      </w:pPr>
    </w:lvl>
    <w:lvl w:ilvl="7" w:tplc="1C090019" w:tentative="1">
      <w:start w:val="1"/>
      <w:numFmt w:val="lowerLetter"/>
      <w:lvlText w:val="%8."/>
      <w:lvlJc w:val="left"/>
      <w:pPr>
        <w:ind w:left="5542" w:hanging="360"/>
      </w:pPr>
    </w:lvl>
    <w:lvl w:ilvl="8" w:tplc="1C09001B" w:tentative="1">
      <w:start w:val="1"/>
      <w:numFmt w:val="lowerRoman"/>
      <w:lvlText w:val="%9."/>
      <w:lvlJc w:val="right"/>
      <w:pPr>
        <w:ind w:left="6262" w:hanging="180"/>
      </w:pPr>
    </w:lvl>
  </w:abstractNum>
  <w:abstractNum w:abstractNumId="12" w15:restartNumberingAfterBreak="0">
    <w:nsid w:val="32437ADD"/>
    <w:multiLevelType w:val="hybridMultilevel"/>
    <w:tmpl w:val="66428F4E"/>
    <w:lvl w:ilvl="0" w:tplc="551EF484">
      <w:start w:val="3"/>
      <w:numFmt w:val="bullet"/>
      <w:lvlText w:val="-"/>
      <w:lvlJc w:val="left"/>
      <w:pPr>
        <w:ind w:left="644" w:hanging="360"/>
      </w:pPr>
      <w:rPr>
        <w:rFonts w:ascii="AGaramondPro-Regular" w:eastAsiaTheme="minorHAnsi" w:hAnsi="AGaramondPro-Regular" w:cs="AGaramondPro-Regular" w:hint="default"/>
      </w:rPr>
    </w:lvl>
    <w:lvl w:ilvl="1" w:tplc="1C090003" w:tentative="1">
      <w:start w:val="1"/>
      <w:numFmt w:val="bullet"/>
      <w:lvlText w:val="o"/>
      <w:lvlJc w:val="left"/>
      <w:pPr>
        <w:ind w:left="1364" w:hanging="360"/>
      </w:pPr>
      <w:rPr>
        <w:rFonts w:ascii="Courier New" w:hAnsi="Courier New" w:cs="Courier New" w:hint="default"/>
      </w:rPr>
    </w:lvl>
    <w:lvl w:ilvl="2" w:tplc="1C090005" w:tentative="1">
      <w:start w:val="1"/>
      <w:numFmt w:val="bullet"/>
      <w:lvlText w:val=""/>
      <w:lvlJc w:val="left"/>
      <w:pPr>
        <w:ind w:left="2084" w:hanging="360"/>
      </w:pPr>
      <w:rPr>
        <w:rFonts w:ascii="Wingdings" w:hAnsi="Wingdings" w:hint="default"/>
      </w:rPr>
    </w:lvl>
    <w:lvl w:ilvl="3" w:tplc="1C090001" w:tentative="1">
      <w:start w:val="1"/>
      <w:numFmt w:val="bullet"/>
      <w:lvlText w:val=""/>
      <w:lvlJc w:val="left"/>
      <w:pPr>
        <w:ind w:left="2804" w:hanging="360"/>
      </w:pPr>
      <w:rPr>
        <w:rFonts w:ascii="Symbol" w:hAnsi="Symbol" w:hint="default"/>
      </w:rPr>
    </w:lvl>
    <w:lvl w:ilvl="4" w:tplc="1C090003" w:tentative="1">
      <w:start w:val="1"/>
      <w:numFmt w:val="bullet"/>
      <w:lvlText w:val="o"/>
      <w:lvlJc w:val="left"/>
      <w:pPr>
        <w:ind w:left="3524" w:hanging="360"/>
      </w:pPr>
      <w:rPr>
        <w:rFonts w:ascii="Courier New" w:hAnsi="Courier New" w:cs="Courier New" w:hint="default"/>
      </w:rPr>
    </w:lvl>
    <w:lvl w:ilvl="5" w:tplc="1C090005" w:tentative="1">
      <w:start w:val="1"/>
      <w:numFmt w:val="bullet"/>
      <w:lvlText w:val=""/>
      <w:lvlJc w:val="left"/>
      <w:pPr>
        <w:ind w:left="4244" w:hanging="360"/>
      </w:pPr>
      <w:rPr>
        <w:rFonts w:ascii="Wingdings" w:hAnsi="Wingdings" w:hint="default"/>
      </w:rPr>
    </w:lvl>
    <w:lvl w:ilvl="6" w:tplc="1C090001" w:tentative="1">
      <w:start w:val="1"/>
      <w:numFmt w:val="bullet"/>
      <w:lvlText w:val=""/>
      <w:lvlJc w:val="left"/>
      <w:pPr>
        <w:ind w:left="4964" w:hanging="360"/>
      </w:pPr>
      <w:rPr>
        <w:rFonts w:ascii="Symbol" w:hAnsi="Symbol" w:hint="default"/>
      </w:rPr>
    </w:lvl>
    <w:lvl w:ilvl="7" w:tplc="1C090003" w:tentative="1">
      <w:start w:val="1"/>
      <w:numFmt w:val="bullet"/>
      <w:lvlText w:val="o"/>
      <w:lvlJc w:val="left"/>
      <w:pPr>
        <w:ind w:left="5684" w:hanging="360"/>
      </w:pPr>
      <w:rPr>
        <w:rFonts w:ascii="Courier New" w:hAnsi="Courier New" w:cs="Courier New" w:hint="default"/>
      </w:rPr>
    </w:lvl>
    <w:lvl w:ilvl="8" w:tplc="1C090005" w:tentative="1">
      <w:start w:val="1"/>
      <w:numFmt w:val="bullet"/>
      <w:lvlText w:val=""/>
      <w:lvlJc w:val="left"/>
      <w:pPr>
        <w:ind w:left="6404" w:hanging="360"/>
      </w:pPr>
      <w:rPr>
        <w:rFonts w:ascii="Wingdings" w:hAnsi="Wingdings" w:hint="default"/>
      </w:rPr>
    </w:lvl>
  </w:abstractNum>
  <w:abstractNum w:abstractNumId="13" w15:restartNumberingAfterBreak="0">
    <w:nsid w:val="33643171"/>
    <w:multiLevelType w:val="hybridMultilevel"/>
    <w:tmpl w:val="4CCA4384"/>
    <w:lvl w:ilvl="0" w:tplc="D8D877B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674731"/>
    <w:multiLevelType w:val="multilevel"/>
    <w:tmpl w:val="846208FC"/>
    <w:lvl w:ilvl="0">
      <w:start w:val="1"/>
      <w:numFmt w:val="bullet"/>
      <w:pStyle w:val="BulletDirectionsInstructions"/>
      <w:lvlText w:val="o"/>
      <w:lvlJc w:val="left"/>
      <w:pPr>
        <w:ind w:left="567"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7101D6D"/>
    <w:multiLevelType w:val="hybridMultilevel"/>
    <w:tmpl w:val="4656C342"/>
    <w:lvl w:ilvl="0" w:tplc="713ED004">
      <w:start w:val="1"/>
      <w:numFmt w:val="bullet"/>
      <w:lvlText w:val="o"/>
      <w:lvlJc w:val="left"/>
      <w:pPr>
        <w:ind w:left="720" w:hanging="360"/>
      </w:pPr>
      <w:rPr>
        <w:rFonts w:ascii="Courier New" w:hAnsi="Courier New" w:cs="Courier New" w:hint="default"/>
      </w:rPr>
    </w:lvl>
    <w:lvl w:ilvl="1" w:tplc="1EB45E38">
      <w:start w:val="1"/>
      <w:numFmt w:val="bullet"/>
      <w:lvlText w:val="o"/>
      <w:lvlJc w:val="left"/>
      <w:pPr>
        <w:ind w:left="1440" w:hanging="360"/>
      </w:pPr>
      <w:rPr>
        <w:rFonts w:ascii="Courier New" w:hAnsi="Courier New" w:cs="Arial" w:hint="default"/>
      </w:rPr>
    </w:lvl>
    <w:lvl w:ilvl="2" w:tplc="2B30180E"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Aria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Arial"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3AD40B2E"/>
    <w:multiLevelType w:val="hybridMultilevel"/>
    <w:tmpl w:val="30907714"/>
    <w:lvl w:ilvl="0" w:tplc="63B22ADA">
      <w:start w:val="1"/>
      <w:numFmt w:val="bullet"/>
      <w:lvlText w:val="―"/>
      <w:lvlJc w:val="left"/>
      <w:pPr>
        <w:ind w:left="360" w:hanging="360"/>
      </w:pPr>
      <w:rPr>
        <w:rFonts w:ascii="Calibri" w:hAnsi="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3BA744C8"/>
    <w:multiLevelType w:val="hybridMultilevel"/>
    <w:tmpl w:val="D46CB5A8"/>
    <w:lvl w:ilvl="0" w:tplc="1C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E7B45D7"/>
    <w:multiLevelType w:val="hybridMultilevel"/>
    <w:tmpl w:val="F24A8ECA"/>
    <w:lvl w:ilvl="0" w:tplc="04090001">
      <w:start w:val="1"/>
      <w:numFmt w:val="bullet"/>
      <w:lvlText w:val=""/>
      <w:lvlJc w:val="left"/>
      <w:pPr>
        <w:ind w:left="720" w:hanging="360"/>
      </w:pPr>
      <w:rPr>
        <w:rFonts w:ascii="Symbol" w:hAnsi="Symbol" w:hint="default"/>
      </w:rPr>
    </w:lvl>
    <w:lvl w:ilvl="1" w:tplc="5F5E1942">
      <w:start w:val="1"/>
      <w:numFmt w:val="bullet"/>
      <w:lvlText w:val="o"/>
      <w:lvlJc w:val="left"/>
      <w:pPr>
        <w:ind w:left="1440" w:hanging="360"/>
      </w:pPr>
      <w:rPr>
        <w:rFonts w:ascii="Courier New" w:hAnsi="Courier New" w:cs="Courier New" w:hint="default"/>
        <w:sz w:val="18"/>
        <w:szCs w:val="18"/>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4A74B2"/>
    <w:multiLevelType w:val="hybridMultilevel"/>
    <w:tmpl w:val="8C5E7E32"/>
    <w:lvl w:ilvl="0" w:tplc="48E00C04">
      <w:start w:val="1"/>
      <w:numFmt w:val="bullet"/>
      <w:lvlText w:val="»"/>
      <w:lvlJc w:val="left"/>
      <w:pPr>
        <w:ind w:left="240" w:hanging="240"/>
      </w:pPr>
      <w:rPr>
        <w:rFonts w:ascii="Arial" w:hAnsi="Arial" w:hint="default"/>
        <w:b w:val="0"/>
        <w:i w:val="0"/>
        <w:caps w:val="0"/>
        <w:smallCaps w:val="0"/>
        <w:strike w:val="0"/>
        <w:dstrike w:val="0"/>
        <w:color w:val="000000"/>
        <w:spacing w:val="0"/>
        <w:w w:val="100"/>
        <w:kern w:val="0"/>
        <w:position w:val="0"/>
        <w:sz w:val="18"/>
        <w:szCs w:val="1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17469F0">
      <w:start w:val="1"/>
      <w:numFmt w:val="bullet"/>
      <w:lvlText w:val="-"/>
      <w:lvlJc w:val="left"/>
      <w:pPr>
        <w:ind w:left="436" w:hanging="196"/>
      </w:pPr>
      <w:rPr>
        <w:rFonts w:hAnsi="Arial Unicode MS"/>
        <w:caps w:val="0"/>
        <w:smallCaps w:val="0"/>
        <w:strike w:val="0"/>
        <w:dstrike w:val="0"/>
        <w:color w:val="000000"/>
        <w:spacing w:val="0"/>
        <w:w w:val="100"/>
        <w:kern w:val="0"/>
        <w:position w:val="4"/>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9F29F74">
      <w:start w:val="1"/>
      <w:numFmt w:val="bullet"/>
      <w:lvlText w:val="-"/>
      <w:lvlJc w:val="left"/>
      <w:pPr>
        <w:ind w:left="676" w:hanging="196"/>
      </w:pPr>
      <w:rPr>
        <w:rFonts w:hAnsi="Arial Unicode MS"/>
        <w:caps w:val="0"/>
        <w:smallCaps w:val="0"/>
        <w:strike w:val="0"/>
        <w:dstrike w:val="0"/>
        <w:color w:val="000000"/>
        <w:spacing w:val="0"/>
        <w:w w:val="100"/>
        <w:kern w:val="0"/>
        <w:position w:val="4"/>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1186948">
      <w:start w:val="1"/>
      <w:numFmt w:val="bullet"/>
      <w:lvlText w:val="-"/>
      <w:lvlJc w:val="left"/>
      <w:pPr>
        <w:ind w:left="916" w:hanging="196"/>
      </w:pPr>
      <w:rPr>
        <w:rFonts w:hAnsi="Arial Unicode MS"/>
        <w:caps w:val="0"/>
        <w:smallCaps w:val="0"/>
        <w:strike w:val="0"/>
        <w:dstrike w:val="0"/>
        <w:color w:val="000000"/>
        <w:spacing w:val="0"/>
        <w:w w:val="100"/>
        <w:kern w:val="0"/>
        <w:position w:val="4"/>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4687992">
      <w:start w:val="1"/>
      <w:numFmt w:val="bullet"/>
      <w:lvlText w:val="-"/>
      <w:lvlJc w:val="left"/>
      <w:pPr>
        <w:ind w:left="1156" w:hanging="196"/>
      </w:pPr>
      <w:rPr>
        <w:rFonts w:hAnsi="Arial Unicode MS"/>
        <w:caps w:val="0"/>
        <w:smallCaps w:val="0"/>
        <w:strike w:val="0"/>
        <w:dstrike w:val="0"/>
        <w:color w:val="000000"/>
        <w:spacing w:val="0"/>
        <w:w w:val="100"/>
        <w:kern w:val="0"/>
        <w:position w:val="4"/>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F68FF50">
      <w:start w:val="1"/>
      <w:numFmt w:val="bullet"/>
      <w:lvlText w:val="-"/>
      <w:lvlJc w:val="left"/>
      <w:pPr>
        <w:ind w:left="1396" w:hanging="196"/>
      </w:pPr>
      <w:rPr>
        <w:rFonts w:hAnsi="Arial Unicode MS"/>
        <w:caps w:val="0"/>
        <w:smallCaps w:val="0"/>
        <w:strike w:val="0"/>
        <w:dstrike w:val="0"/>
        <w:color w:val="000000"/>
        <w:spacing w:val="0"/>
        <w:w w:val="100"/>
        <w:kern w:val="0"/>
        <w:position w:val="4"/>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8A2D28">
      <w:start w:val="1"/>
      <w:numFmt w:val="bullet"/>
      <w:lvlText w:val="-"/>
      <w:lvlJc w:val="left"/>
      <w:pPr>
        <w:ind w:left="1636" w:hanging="196"/>
      </w:pPr>
      <w:rPr>
        <w:rFonts w:hAnsi="Arial Unicode MS"/>
        <w:caps w:val="0"/>
        <w:smallCaps w:val="0"/>
        <w:strike w:val="0"/>
        <w:dstrike w:val="0"/>
        <w:color w:val="000000"/>
        <w:spacing w:val="0"/>
        <w:w w:val="100"/>
        <w:kern w:val="0"/>
        <w:position w:val="4"/>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0107F66">
      <w:start w:val="1"/>
      <w:numFmt w:val="bullet"/>
      <w:lvlText w:val="-"/>
      <w:lvlJc w:val="left"/>
      <w:pPr>
        <w:ind w:left="1876" w:hanging="196"/>
      </w:pPr>
      <w:rPr>
        <w:rFonts w:hAnsi="Arial Unicode MS"/>
        <w:caps w:val="0"/>
        <w:smallCaps w:val="0"/>
        <w:strike w:val="0"/>
        <w:dstrike w:val="0"/>
        <w:color w:val="000000"/>
        <w:spacing w:val="0"/>
        <w:w w:val="100"/>
        <w:kern w:val="0"/>
        <w:position w:val="4"/>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62644E6">
      <w:start w:val="1"/>
      <w:numFmt w:val="bullet"/>
      <w:lvlText w:val="-"/>
      <w:lvlJc w:val="left"/>
      <w:pPr>
        <w:ind w:left="2116" w:hanging="196"/>
      </w:pPr>
      <w:rPr>
        <w:rFonts w:hAnsi="Arial Unicode MS"/>
        <w:caps w:val="0"/>
        <w:smallCaps w:val="0"/>
        <w:strike w:val="0"/>
        <w:dstrike w:val="0"/>
        <w:color w:val="000000"/>
        <w:spacing w:val="0"/>
        <w:w w:val="100"/>
        <w:kern w:val="0"/>
        <w:position w:val="4"/>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45AF0413"/>
    <w:multiLevelType w:val="hybridMultilevel"/>
    <w:tmpl w:val="D280120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15:restartNumberingAfterBreak="0">
    <w:nsid w:val="49B01A0C"/>
    <w:multiLevelType w:val="multilevel"/>
    <w:tmpl w:val="1F264354"/>
    <w:lvl w:ilvl="0">
      <w:numFmt w:val="none"/>
      <w:lvlText w:val="»"/>
      <w:lvlJc w:val="left"/>
      <w:pPr>
        <w:ind w:left="284" w:hanging="284"/>
      </w:pPr>
      <w:rPr>
        <w:rFonts w:hint="default"/>
        <w:color w:val="000000"/>
      </w:rPr>
    </w:lvl>
    <w:lvl w:ilvl="1">
      <w:start w:val="1"/>
      <w:numFmt w:val="bullet"/>
      <w:lvlText w:val="-"/>
      <w:lvlJc w:val="left"/>
      <w:pPr>
        <w:ind w:left="567" w:hanging="283"/>
      </w:pPr>
      <w:rPr>
        <w:rFonts w:ascii="Courier New" w:hAnsi="Courier New" w:hint="default"/>
        <w:b/>
        <w:i w:val="0"/>
        <w:color w:val="000000"/>
        <w:sz w:val="14"/>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 w15:restartNumberingAfterBreak="0">
    <w:nsid w:val="50690F74"/>
    <w:multiLevelType w:val="hybridMultilevel"/>
    <w:tmpl w:val="6B7E5DC8"/>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15:restartNumberingAfterBreak="0">
    <w:nsid w:val="518C292C"/>
    <w:multiLevelType w:val="hybridMultilevel"/>
    <w:tmpl w:val="15E6561C"/>
    <w:lvl w:ilvl="0" w:tplc="04090003">
      <w:start w:val="1"/>
      <w:numFmt w:val="bullet"/>
      <w:lvlText w:val="o"/>
      <w:lvlJc w:val="left"/>
      <w:pPr>
        <w:ind w:left="720" w:hanging="360"/>
      </w:pPr>
      <w:rPr>
        <w:rFonts w:ascii="Courier New" w:hAnsi="Courier New" w:cs="Aria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A02FB9"/>
    <w:multiLevelType w:val="hybridMultilevel"/>
    <w:tmpl w:val="8D18383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 w15:restartNumberingAfterBreak="0">
    <w:nsid w:val="6BF731A7"/>
    <w:multiLevelType w:val="multilevel"/>
    <w:tmpl w:val="BDA4EB8A"/>
    <w:lvl w:ilvl="0">
      <w:start w:val="1"/>
      <w:numFmt w:val="bullet"/>
      <w:pStyle w:val="BulletMedicine"/>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17C6990"/>
    <w:multiLevelType w:val="hybridMultilevel"/>
    <w:tmpl w:val="C9BCCB1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 w15:restartNumberingAfterBreak="0">
    <w:nsid w:val="762A7D21"/>
    <w:multiLevelType w:val="hybridMultilevel"/>
    <w:tmpl w:val="7012FD98"/>
    <w:lvl w:ilvl="0" w:tplc="04090001">
      <w:start w:val="1"/>
      <w:numFmt w:val="bullet"/>
      <w:lvlText w:val=""/>
      <w:lvlJc w:val="left"/>
      <w:pPr>
        <w:ind w:left="720" w:hanging="360"/>
      </w:pPr>
      <w:rPr>
        <w:rFonts w:ascii="Symbol" w:hAnsi="Symbol" w:hint="default"/>
      </w:rPr>
    </w:lvl>
    <w:lvl w:ilvl="1" w:tplc="2B30180E">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95126C"/>
    <w:multiLevelType w:val="hybridMultilevel"/>
    <w:tmpl w:val="B9B03FB4"/>
    <w:lvl w:ilvl="0" w:tplc="6D5E49AA">
      <w:numFmt w:val="bullet"/>
      <w:lvlText w:val="-"/>
      <w:lvlJc w:val="left"/>
      <w:pPr>
        <w:ind w:left="644" w:hanging="360"/>
      </w:pPr>
      <w:rPr>
        <w:rFonts w:ascii="Arial" w:eastAsia="Times New Roman" w:hAnsi="Arial" w:cs="Arial" w:hint="default"/>
        <w:strike w:val="0"/>
        <w:color w:val="000000"/>
      </w:rPr>
    </w:lvl>
    <w:lvl w:ilvl="1" w:tplc="6D5E49AA">
      <w:numFmt w:val="bullet"/>
      <w:lvlText w:val="-"/>
      <w:lvlJc w:val="left"/>
      <w:pPr>
        <w:ind w:left="1364" w:hanging="360"/>
      </w:pPr>
      <w:rPr>
        <w:rFonts w:ascii="Arial" w:eastAsia="Times New Roman" w:hAnsi="Arial" w:cs="Arial" w:hint="default"/>
      </w:r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9" w15:restartNumberingAfterBreak="0">
    <w:nsid w:val="7C6E5CF7"/>
    <w:multiLevelType w:val="hybridMultilevel"/>
    <w:tmpl w:val="A34AB682"/>
    <w:lvl w:ilvl="0" w:tplc="7F66F1E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D532C5C"/>
    <w:multiLevelType w:val="hybridMultilevel"/>
    <w:tmpl w:val="FE98AD06"/>
    <w:lvl w:ilvl="0" w:tplc="3390A9B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E0736A3"/>
    <w:multiLevelType w:val="hybridMultilevel"/>
    <w:tmpl w:val="B2AC14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401827824">
    <w:abstractNumId w:val="21"/>
  </w:num>
  <w:num w:numId="2" w16cid:durableId="1048795015">
    <w:abstractNumId w:val="14"/>
    <w:lvlOverride w:ilvl="0">
      <w:lvl w:ilvl="0">
        <w:start w:val="1"/>
        <w:numFmt w:val="bullet"/>
        <w:pStyle w:val="BulletDirectionsInstructions"/>
        <w:lvlText w:val="o"/>
        <w:lvlJc w:val="left"/>
        <w:pPr>
          <w:ind w:left="567" w:hanging="283"/>
        </w:pPr>
        <w:rPr>
          <w:rFonts w:ascii="Courier New" w:hAnsi="Courier New" w:hint="default"/>
        </w:rPr>
      </w:lvl>
    </w:lvlOverride>
    <w:lvlOverride w:ilvl="1">
      <w:lvl w:ilvl="1">
        <w:start w:val="1"/>
        <w:numFmt w:val="bullet"/>
        <w:lvlText w:val="-"/>
        <w:lvlJc w:val="left"/>
        <w:pPr>
          <w:ind w:left="851" w:hanging="284"/>
        </w:pPr>
        <w:rPr>
          <w:rFonts w:ascii="Courier New" w:hAnsi="Courier New" w:hint="default"/>
          <w:color w:val="000000"/>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125124296">
    <w:abstractNumId w:val="25"/>
  </w:num>
  <w:num w:numId="4" w16cid:durableId="742411365">
    <w:abstractNumId w:val="2"/>
  </w:num>
  <w:num w:numId="5" w16cid:durableId="671029701">
    <w:abstractNumId w:val="26"/>
  </w:num>
  <w:num w:numId="6" w16cid:durableId="1334722479">
    <w:abstractNumId w:val="1"/>
  </w:num>
  <w:num w:numId="7" w16cid:durableId="1374190618">
    <w:abstractNumId w:val="28"/>
  </w:num>
  <w:num w:numId="8" w16cid:durableId="1890602800">
    <w:abstractNumId w:val="22"/>
  </w:num>
  <w:num w:numId="9" w16cid:durableId="167864741">
    <w:abstractNumId w:val="4"/>
  </w:num>
  <w:num w:numId="10" w16cid:durableId="1965849158">
    <w:abstractNumId w:val="0"/>
  </w:num>
  <w:num w:numId="11" w16cid:durableId="315912468">
    <w:abstractNumId w:val="16"/>
  </w:num>
  <w:num w:numId="12" w16cid:durableId="2072385780">
    <w:abstractNumId w:val="11"/>
  </w:num>
  <w:num w:numId="13" w16cid:durableId="472136349">
    <w:abstractNumId w:val="3"/>
  </w:num>
  <w:num w:numId="14" w16cid:durableId="313879148">
    <w:abstractNumId w:val="24"/>
  </w:num>
  <w:num w:numId="15" w16cid:durableId="1753310042">
    <w:abstractNumId w:val="5"/>
  </w:num>
  <w:num w:numId="16" w16cid:durableId="1854952960">
    <w:abstractNumId w:val="10"/>
  </w:num>
  <w:num w:numId="17" w16cid:durableId="896280313">
    <w:abstractNumId w:val="12"/>
  </w:num>
  <w:num w:numId="18" w16cid:durableId="826551624">
    <w:abstractNumId w:val="8"/>
  </w:num>
  <w:num w:numId="19" w16cid:durableId="8771571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921988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453423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573793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514879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676880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57534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278860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7917829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662766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097892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471691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504148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276432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91371334">
    <w:abstractNumId w:val="9"/>
  </w:num>
  <w:num w:numId="34" w16cid:durableId="312298307">
    <w:abstractNumId w:val="23"/>
  </w:num>
  <w:num w:numId="35" w16cid:durableId="1871844019">
    <w:abstractNumId w:val="19"/>
  </w:num>
  <w:num w:numId="36" w16cid:durableId="635334922">
    <w:abstractNumId w:val="30"/>
  </w:num>
  <w:num w:numId="37" w16cid:durableId="1853496816">
    <w:abstractNumId w:val="29"/>
  </w:num>
  <w:num w:numId="38" w16cid:durableId="659776311">
    <w:abstractNumId w:val="13"/>
  </w:num>
  <w:num w:numId="39" w16cid:durableId="1690596289">
    <w:abstractNumId w:val="31"/>
  </w:num>
  <w:num w:numId="40" w16cid:durableId="2101171927">
    <w:abstractNumId w:val="20"/>
  </w:num>
  <w:num w:numId="41" w16cid:durableId="643240543">
    <w:abstractNumId w:val="7"/>
  </w:num>
  <w:num w:numId="42" w16cid:durableId="2006322302">
    <w:abstractNumId w:val="15"/>
  </w:num>
  <w:num w:numId="43" w16cid:durableId="306323697">
    <w:abstractNumId w:val="18"/>
  </w:num>
  <w:num w:numId="44" w16cid:durableId="1735733534">
    <w:abstractNumId w:val="6"/>
  </w:num>
  <w:num w:numId="45" w16cid:durableId="1352023706">
    <w:abstractNumId w:val="27"/>
  </w:num>
  <w:num w:numId="46" w16cid:durableId="1033917979">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DF7"/>
    <w:rsid w:val="00001FD8"/>
    <w:rsid w:val="0001059D"/>
    <w:rsid w:val="00023F7F"/>
    <w:rsid w:val="00024697"/>
    <w:rsid w:val="00031ED6"/>
    <w:rsid w:val="00033364"/>
    <w:rsid w:val="00034281"/>
    <w:rsid w:val="00036BE2"/>
    <w:rsid w:val="00041D5B"/>
    <w:rsid w:val="00044171"/>
    <w:rsid w:val="0005374A"/>
    <w:rsid w:val="000565B8"/>
    <w:rsid w:val="0006154C"/>
    <w:rsid w:val="000622E4"/>
    <w:rsid w:val="00062548"/>
    <w:rsid w:val="0006500A"/>
    <w:rsid w:val="000764E9"/>
    <w:rsid w:val="00094B0E"/>
    <w:rsid w:val="000A2074"/>
    <w:rsid w:val="000A7DFA"/>
    <w:rsid w:val="000B1C4C"/>
    <w:rsid w:val="000B7BFE"/>
    <w:rsid w:val="000C4107"/>
    <w:rsid w:val="000D450A"/>
    <w:rsid w:val="000E29BA"/>
    <w:rsid w:val="000E6279"/>
    <w:rsid w:val="000E639D"/>
    <w:rsid w:val="000E7C96"/>
    <w:rsid w:val="00101E3D"/>
    <w:rsid w:val="00104C30"/>
    <w:rsid w:val="001058A4"/>
    <w:rsid w:val="00106325"/>
    <w:rsid w:val="00123537"/>
    <w:rsid w:val="00127397"/>
    <w:rsid w:val="0013045C"/>
    <w:rsid w:val="001337BC"/>
    <w:rsid w:val="00133FED"/>
    <w:rsid w:val="001377BF"/>
    <w:rsid w:val="00141724"/>
    <w:rsid w:val="001437D3"/>
    <w:rsid w:val="00144B02"/>
    <w:rsid w:val="00150763"/>
    <w:rsid w:val="00156F39"/>
    <w:rsid w:val="0015768B"/>
    <w:rsid w:val="00166DEB"/>
    <w:rsid w:val="0017479E"/>
    <w:rsid w:val="00175090"/>
    <w:rsid w:val="00181E1A"/>
    <w:rsid w:val="00197E24"/>
    <w:rsid w:val="001A4B2C"/>
    <w:rsid w:val="001A5B58"/>
    <w:rsid w:val="001C4D78"/>
    <w:rsid w:val="001C7B92"/>
    <w:rsid w:val="001D2DB9"/>
    <w:rsid w:val="001D3AE9"/>
    <w:rsid w:val="001E7186"/>
    <w:rsid w:val="002053AF"/>
    <w:rsid w:val="00222ECC"/>
    <w:rsid w:val="00224FFB"/>
    <w:rsid w:val="00227C1A"/>
    <w:rsid w:val="002313C8"/>
    <w:rsid w:val="00236BF1"/>
    <w:rsid w:val="00240E90"/>
    <w:rsid w:val="0024227C"/>
    <w:rsid w:val="002439F9"/>
    <w:rsid w:val="00263E2B"/>
    <w:rsid w:val="002803DB"/>
    <w:rsid w:val="002840DE"/>
    <w:rsid w:val="00293386"/>
    <w:rsid w:val="002B1B11"/>
    <w:rsid w:val="002B70FB"/>
    <w:rsid w:val="002C0AC0"/>
    <w:rsid w:val="002C25E2"/>
    <w:rsid w:val="002D0834"/>
    <w:rsid w:val="002D4498"/>
    <w:rsid w:val="002F7820"/>
    <w:rsid w:val="0030183C"/>
    <w:rsid w:val="003043AD"/>
    <w:rsid w:val="003055B9"/>
    <w:rsid w:val="00305937"/>
    <w:rsid w:val="00311EA4"/>
    <w:rsid w:val="00321247"/>
    <w:rsid w:val="00323AAB"/>
    <w:rsid w:val="003240B1"/>
    <w:rsid w:val="003251F2"/>
    <w:rsid w:val="0032597F"/>
    <w:rsid w:val="00330CC3"/>
    <w:rsid w:val="00334C73"/>
    <w:rsid w:val="0033585C"/>
    <w:rsid w:val="003433BA"/>
    <w:rsid w:val="00346A4F"/>
    <w:rsid w:val="00357C58"/>
    <w:rsid w:val="00360E06"/>
    <w:rsid w:val="00366146"/>
    <w:rsid w:val="00371DCF"/>
    <w:rsid w:val="00371F0E"/>
    <w:rsid w:val="003813C2"/>
    <w:rsid w:val="00381E71"/>
    <w:rsid w:val="00383EE0"/>
    <w:rsid w:val="00391BC8"/>
    <w:rsid w:val="003947AF"/>
    <w:rsid w:val="003A0D5C"/>
    <w:rsid w:val="003A4747"/>
    <w:rsid w:val="003B01B0"/>
    <w:rsid w:val="003B245B"/>
    <w:rsid w:val="003B7D6F"/>
    <w:rsid w:val="003C63C7"/>
    <w:rsid w:val="003D6E67"/>
    <w:rsid w:val="003E527A"/>
    <w:rsid w:val="003E66F9"/>
    <w:rsid w:val="003F14C9"/>
    <w:rsid w:val="003F3C80"/>
    <w:rsid w:val="0040041B"/>
    <w:rsid w:val="004029BC"/>
    <w:rsid w:val="00404126"/>
    <w:rsid w:val="00411E17"/>
    <w:rsid w:val="004226BB"/>
    <w:rsid w:val="004255DB"/>
    <w:rsid w:val="00425949"/>
    <w:rsid w:val="00426F51"/>
    <w:rsid w:val="00431AAC"/>
    <w:rsid w:val="00431AE3"/>
    <w:rsid w:val="00442FC9"/>
    <w:rsid w:val="00454591"/>
    <w:rsid w:val="004574E2"/>
    <w:rsid w:val="00465ED0"/>
    <w:rsid w:val="00491ED3"/>
    <w:rsid w:val="004928D7"/>
    <w:rsid w:val="004940E2"/>
    <w:rsid w:val="00494AD2"/>
    <w:rsid w:val="004960B5"/>
    <w:rsid w:val="004A412E"/>
    <w:rsid w:val="004A59E5"/>
    <w:rsid w:val="004A777C"/>
    <w:rsid w:val="004C1DA1"/>
    <w:rsid w:val="004E1624"/>
    <w:rsid w:val="004E440F"/>
    <w:rsid w:val="004E613D"/>
    <w:rsid w:val="00500289"/>
    <w:rsid w:val="00500376"/>
    <w:rsid w:val="00523C70"/>
    <w:rsid w:val="00527EEA"/>
    <w:rsid w:val="00535B5F"/>
    <w:rsid w:val="00551062"/>
    <w:rsid w:val="00552E3A"/>
    <w:rsid w:val="00557FF4"/>
    <w:rsid w:val="00562785"/>
    <w:rsid w:val="00570979"/>
    <w:rsid w:val="005737A3"/>
    <w:rsid w:val="00574FC8"/>
    <w:rsid w:val="00576BB4"/>
    <w:rsid w:val="005838C2"/>
    <w:rsid w:val="0058539D"/>
    <w:rsid w:val="00585F70"/>
    <w:rsid w:val="00590B2C"/>
    <w:rsid w:val="005B3C99"/>
    <w:rsid w:val="005B4207"/>
    <w:rsid w:val="005B75FC"/>
    <w:rsid w:val="005B7B60"/>
    <w:rsid w:val="005C63B2"/>
    <w:rsid w:val="005D621C"/>
    <w:rsid w:val="005E01F6"/>
    <w:rsid w:val="00601F12"/>
    <w:rsid w:val="0061219C"/>
    <w:rsid w:val="00616EA6"/>
    <w:rsid w:val="0061723D"/>
    <w:rsid w:val="006212BB"/>
    <w:rsid w:val="00630BC6"/>
    <w:rsid w:val="0063238B"/>
    <w:rsid w:val="00647611"/>
    <w:rsid w:val="00650423"/>
    <w:rsid w:val="00652FCC"/>
    <w:rsid w:val="00653039"/>
    <w:rsid w:val="00666057"/>
    <w:rsid w:val="0067023D"/>
    <w:rsid w:val="006769AF"/>
    <w:rsid w:val="00680C6C"/>
    <w:rsid w:val="00687582"/>
    <w:rsid w:val="00693C4F"/>
    <w:rsid w:val="00696016"/>
    <w:rsid w:val="006B45D3"/>
    <w:rsid w:val="006C41F2"/>
    <w:rsid w:val="006D2025"/>
    <w:rsid w:val="006D25C3"/>
    <w:rsid w:val="006D2CA9"/>
    <w:rsid w:val="006D466E"/>
    <w:rsid w:val="006D4CF3"/>
    <w:rsid w:val="006D6453"/>
    <w:rsid w:val="006D6A61"/>
    <w:rsid w:val="006F185C"/>
    <w:rsid w:val="006F1BF8"/>
    <w:rsid w:val="006F2B1D"/>
    <w:rsid w:val="006F30C7"/>
    <w:rsid w:val="00731A20"/>
    <w:rsid w:val="00734018"/>
    <w:rsid w:val="00737463"/>
    <w:rsid w:val="00737ECE"/>
    <w:rsid w:val="00746088"/>
    <w:rsid w:val="007547F2"/>
    <w:rsid w:val="00762942"/>
    <w:rsid w:val="00773A8A"/>
    <w:rsid w:val="00777F37"/>
    <w:rsid w:val="00786284"/>
    <w:rsid w:val="0078655F"/>
    <w:rsid w:val="00797097"/>
    <w:rsid w:val="00797E3B"/>
    <w:rsid w:val="007A0C8E"/>
    <w:rsid w:val="007A5DA4"/>
    <w:rsid w:val="007A6426"/>
    <w:rsid w:val="007B1B30"/>
    <w:rsid w:val="007C34B5"/>
    <w:rsid w:val="007C5810"/>
    <w:rsid w:val="007C5C2F"/>
    <w:rsid w:val="007C6F82"/>
    <w:rsid w:val="007D0D04"/>
    <w:rsid w:val="007E1AE4"/>
    <w:rsid w:val="007E26B2"/>
    <w:rsid w:val="007F4DE0"/>
    <w:rsid w:val="00804F9E"/>
    <w:rsid w:val="00811BA9"/>
    <w:rsid w:val="008138D1"/>
    <w:rsid w:val="008140CA"/>
    <w:rsid w:val="00814B52"/>
    <w:rsid w:val="008250D5"/>
    <w:rsid w:val="00842721"/>
    <w:rsid w:val="00844315"/>
    <w:rsid w:val="008468E3"/>
    <w:rsid w:val="00853801"/>
    <w:rsid w:val="00872B2C"/>
    <w:rsid w:val="00872D0E"/>
    <w:rsid w:val="00873630"/>
    <w:rsid w:val="00875183"/>
    <w:rsid w:val="008847CB"/>
    <w:rsid w:val="00886B72"/>
    <w:rsid w:val="00897CDA"/>
    <w:rsid w:val="008A0B1C"/>
    <w:rsid w:val="008A6F6A"/>
    <w:rsid w:val="008B01F6"/>
    <w:rsid w:val="008B60F9"/>
    <w:rsid w:val="008B6B32"/>
    <w:rsid w:val="008C0411"/>
    <w:rsid w:val="008C378E"/>
    <w:rsid w:val="008C6F89"/>
    <w:rsid w:val="008D363C"/>
    <w:rsid w:val="008F1727"/>
    <w:rsid w:val="008F1FEF"/>
    <w:rsid w:val="00900073"/>
    <w:rsid w:val="009050E9"/>
    <w:rsid w:val="00905919"/>
    <w:rsid w:val="00905F40"/>
    <w:rsid w:val="00906CB7"/>
    <w:rsid w:val="0091067D"/>
    <w:rsid w:val="00925DD0"/>
    <w:rsid w:val="00933324"/>
    <w:rsid w:val="00937D3B"/>
    <w:rsid w:val="00941593"/>
    <w:rsid w:val="009465E5"/>
    <w:rsid w:val="00950F82"/>
    <w:rsid w:val="0095168D"/>
    <w:rsid w:val="009638BA"/>
    <w:rsid w:val="0098205D"/>
    <w:rsid w:val="009833F9"/>
    <w:rsid w:val="00987EFB"/>
    <w:rsid w:val="00995C2B"/>
    <w:rsid w:val="009978C3"/>
    <w:rsid w:val="009A0A53"/>
    <w:rsid w:val="009A29F1"/>
    <w:rsid w:val="009A6618"/>
    <w:rsid w:val="009A692C"/>
    <w:rsid w:val="009A751A"/>
    <w:rsid w:val="009B4DF7"/>
    <w:rsid w:val="009D259C"/>
    <w:rsid w:val="009E059C"/>
    <w:rsid w:val="009F0087"/>
    <w:rsid w:val="009F01CE"/>
    <w:rsid w:val="009F17CD"/>
    <w:rsid w:val="009F464D"/>
    <w:rsid w:val="009F782A"/>
    <w:rsid w:val="00A03948"/>
    <w:rsid w:val="00A044B4"/>
    <w:rsid w:val="00A1153A"/>
    <w:rsid w:val="00A14E8E"/>
    <w:rsid w:val="00A32420"/>
    <w:rsid w:val="00A46891"/>
    <w:rsid w:val="00A46C88"/>
    <w:rsid w:val="00A50A84"/>
    <w:rsid w:val="00A56FAC"/>
    <w:rsid w:val="00A6070D"/>
    <w:rsid w:val="00A60CBB"/>
    <w:rsid w:val="00A72B8E"/>
    <w:rsid w:val="00A7706D"/>
    <w:rsid w:val="00A82898"/>
    <w:rsid w:val="00A91274"/>
    <w:rsid w:val="00A91D1C"/>
    <w:rsid w:val="00A91F2F"/>
    <w:rsid w:val="00A97850"/>
    <w:rsid w:val="00AA53CB"/>
    <w:rsid w:val="00AA541A"/>
    <w:rsid w:val="00AB0E7A"/>
    <w:rsid w:val="00AB17AC"/>
    <w:rsid w:val="00AB47D9"/>
    <w:rsid w:val="00AC3DE0"/>
    <w:rsid w:val="00AC4B57"/>
    <w:rsid w:val="00AD4391"/>
    <w:rsid w:val="00AD4C6A"/>
    <w:rsid w:val="00AE0A49"/>
    <w:rsid w:val="00AE201D"/>
    <w:rsid w:val="00AE3858"/>
    <w:rsid w:val="00AE652F"/>
    <w:rsid w:val="00AF0330"/>
    <w:rsid w:val="00AF1804"/>
    <w:rsid w:val="00AF6865"/>
    <w:rsid w:val="00B02B54"/>
    <w:rsid w:val="00B14757"/>
    <w:rsid w:val="00B14D14"/>
    <w:rsid w:val="00B20E28"/>
    <w:rsid w:val="00B232E1"/>
    <w:rsid w:val="00B27FD3"/>
    <w:rsid w:val="00B35379"/>
    <w:rsid w:val="00B35E3F"/>
    <w:rsid w:val="00B37BCC"/>
    <w:rsid w:val="00B44F2E"/>
    <w:rsid w:val="00B46462"/>
    <w:rsid w:val="00B54DEC"/>
    <w:rsid w:val="00B55852"/>
    <w:rsid w:val="00B66A05"/>
    <w:rsid w:val="00B676E6"/>
    <w:rsid w:val="00B72078"/>
    <w:rsid w:val="00B7605D"/>
    <w:rsid w:val="00B9533C"/>
    <w:rsid w:val="00B963C1"/>
    <w:rsid w:val="00BA0DFF"/>
    <w:rsid w:val="00BB0508"/>
    <w:rsid w:val="00BB3ED5"/>
    <w:rsid w:val="00BB40A0"/>
    <w:rsid w:val="00BB4970"/>
    <w:rsid w:val="00BD1CAF"/>
    <w:rsid w:val="00BE11BF"/>
    <w:rsid w:val="00BF4DF8"/>
    <w:rsid w:val="00BF5394"/>
    <w:rsid w:val="00BF6983"/>
    <w:rsid w:val="00C02E5A"/>
    <w:rsid w:val="00C0300E"/>
    <w:rsid w:val="00C10E3B"/>
    <w:rsid w:val="00C1230F"/>
    <w:rsid w:val="00C1499A"/>
    <w:rsid w:val="00C22C19"/>
    <w:rsid w:val="00C250B5"/>
    <w:rsid w:val="00C274EE"/>
    <w:rsid w:val="00C3215A"/>
    <w:rsid w:val="00C323C0"/>
    <w:rsid w:val="00C32668"/>
    <w:rsid w:val="00C404B6"/>
    <w:rsid w:val="00C40D67"/>
    <w:rsid w:val="00C44913"/>
    <w:rsid w:val="00C45E49"/>
    <w:rsid w:val="00C47847"/>
    <w:rsid w:val="00C47F5D"/>
    <w:rsid w:val="00C537E7"/>
    <w:rsid w:val="00C603B8"/>
    <w:rsid w:val="00C619D0"/>
    <w:rsid w:val="00C672E8"/>
    <w:rsid w:val="00C70490"/>
    <w:rsid w:val="00C70872"/>
    <w:rsid w:val="00C72462"/>
    <w:rsid w:val="00C72668"/>
    <w:rsid w:val="00C72704"/>
    <w:rsid w:val="00C859BC"/>
    <w:rsid w:val="00C85C35"/>
    <w:rsid w:val="00C85DEE"/>
    <w:rsid w:val="00C9437F"/>
    <w:rsid w:val="00C945A1"/>
    <w:rsid w:val="00C94A8B"/>
    <w:rsid w:val="00C97B1B"/>
    <w:rsid w:val="00CA22CA"/>
    <w:rsid w:val="00CA2A1B"/>
    <w:rsid w:val="00CA6686"/>
    <w:rsid w:val="00CB2646"/>
    <w:rsid w:val="00CB56CE"/>
    <w:rsid w:val="00CB7863"/>
    <w:rsid w:val="00CC3CA0"/>
    <w:rsid w:val="00CC4159"/>
    <w:rsid w:val="00CC41C5"/>
    <w:rsid w:val="00CD2937"/>
    <w:rsid w:val="00CD7A11"/>
    <w:rsid w:val="00CE27D7"/>
    <w:rsid w:val="00CE5547"/>
    <w:rsid w:val="00CF0319"/>
    <w:rsid w:val="00CF5E89"/>
    <w:rsid w:val="00D032B9"/>
    <w:rsid w:val="00D15179"/>
    <w:rsid w:val="00D205D5"/>
    <w:rsid w:val="00D31368"/>
    <w:rsid w:val="00D35A21"/>
    <w:rsid w:val="00D36717"/>
    <w:rsid w:val="00D40EEF"/>
    <w:rsid w:val="00D4451C"/>
    <w:rsid w:val="00D46071"/>
    <w:rsid w:val="00D464C3"/>
    <w:rsid w:val="00D47CDE"/>
    <w:rsid w:val="00D5081B"/>
    <w:rsid w:val="00D61E4C"/>
    <w:rsid w:val="00D76898"/>
    <w:rsid w:val="00D8179B"/>
    <w:rsid w:val="00D87743"/>
    <w:rsid w:val="00D87C18"/>
    <w:rsid w:val="00D919B5"/>
    <w:rsid w:val="00D927DA"/>
    <w:rsid w:val="00D97EC6"/>
    <w:rsid w:val="00DA05DB"/>
    <w:rsid w:val="00DB20AE"/>
    <w:rsid w:val="00DB3BF6"/>
    <w:rsid w:val="00DB6698"/>
    <w:rsid w:val="00DC2546"/>
    <w:rsid w:val="00DC3049"/>
    <w:rsid w:val="00DC5A24"/>
    <w:rsid w:val="00DC6EA8"/>
    <w:rsid w:val="00DC6F45"/>
    <w:rsid w:val="00DE3028"/>
    <w:rsid w:val="00DE788E"/>
    <w:rsid w:val="00DF0470"/>
    <w:rsid w:val="00DF0CA3"/>
    <w:rsid w:val="00DF0D09"/>
    <w:rsid w:val="00DF147C"/>
    <w:rsid w:val="00DF232D"/>
    <w:rsid w:val="00DF58AB"/>
    <w:rsid w:val="00DF592A"/>
    <w:rsid w:val="00DF6E35"/>
    <w:rsid w:val="00E04C45"/>
    <w:rsid w:val="00E0683D"/>
    <w:rsid w:val="00E162A1"/>
    <w:rsid w:val="00E31C0E"/>
    <w:rsid w:val="00E42740"/>
    <w:rsid w:val="00E45210"/>
    <w:rsid w:val="00E517C1"/>
    <w:rsid w:val="00E5595E"/>
    <w:rsid w:val="00E6499B"/>
    <w:rsid w:val="00E650B8"/>
    <w:rsid w:val="00E66765"/>
    <w:rsid w:val="00E670BD"/>
    <w:rsid w:val="00E84108"/>
    <w:rsid w:val="00E92024"/>
    <w:rsid w:val="00E93624"/>
    <w:rsid w:val="00E9569F"/>
    <w:rsid w:val="00EA715D"/>
    <w:rsid w:val="00EB5296"/>
    <w:rsid w:val="00EC16EE"/>
    <w:rsid w:val="00EC42F0"/>
    <w:rsid w:val="00EC5040"/>
    <w:rsid w:val="00EC5532"/>
    <w:rsid w:val="00ED757C"/>
    <w:rsid w:val="00EF2026"/>
    <w:rsid w:val="00EF6C47"/>
    <w:rsid w:val="00F00E8D"/>
    <w:rsid w:val="00F01F5C"/>
    <w:rsid w:val="00F14C59"/>
    <w:rsid w:val="00F320B9"/>
    <w:rsid w:val="00F3314F"/>
    <w:rsid w:val="00F36151"/>
    <w:rsid w:val="00F36A37"/>
    <w:rsid w:val="00F564C5"/>
    <w:rsid w:val="00F56ACF"/>
    <w:rsid w:val="00F61BA0"/>
    <w:rsid w:val="00F73F12"/>
    <w:rsid w:val="00F77705"/>
    <w:rsid w:val="00F80C5C"/>
    <w:rsid w:val="00F9595F"/>
    <w:rsid w:val="00FA180A"/>
    <w:rsid w:val="00FA5332"/>
    <w:rsid w:val="00FB08A4"/>
    <w:rsid w:val="00FB14CC"/>
    <w:rsid w:val="00FB46E2"/>
    <w:rsid w:val="00FB694F"/>
    <w:rsid w:val="00FC070B"/>
    <w:rsid w:val="00FD33AF"/>
    <w:rsid w:val="00FD36F8"/>
    <w:rsid w:val="00FD4267"/>
    <w:rsid w:val="00FE351F"/>
    <w:rsid w:val="00FF1783"/>
    <w:rsid w:val="00FF494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3F064"/>
  <w15:docId w15:val="{48C15E65-BACD-4DAD-BA55-A4F247344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10" w:unhideWhenUsed="1"/>
    <w:lsdException w:name="endnote text" w:semiHidden="1" w:uiPriority="1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DF7"/>
    <w:rPr>
      <w:lang w:val="en-US"/>
    </w:rPr>
  </w:style>
  <w:style w:type="paragraph" w:styleId="Heading1">
    <w:name w:val="heading 1"/>
    <w:basedOn w:val="Normal"/>
    <w:next w:val="Normal"/>
    <w:link w:val="Heading1Char"/>
    <w:uiPriority w:val="9"/>
    <w:qFormat/>
    <w:rsid w:val="002313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001FD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3537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A6F6A"/>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73A8A"/>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905919"/>
    <w:pPr>
      <w:keepNext/>
      <w:spacing w:before="60" w:after="0" w:line="240" w:lineRule="auto"/>
      <w:jc w:val="both"/>
      <w:outlineLvl w:val="6"/>
    </w:pPr>
    <w:rPr>
      <w:rFonts w:ascii="Arial" w:hAnsi="Arial"/>
      <w:spacing w:val="-4"/>
      <w:sz w:val="18"/>
      <w:szCs w:val="18"/>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le text"/>
    <w:basedOn w:val="Normal"/>
    <w:link w:val="ListParagraphChar"/>
    <w:uiPriority w:val="34"/>
    <w:qFormat/>
    <w:rsid w:val="009B4DF7"/>
    <w:pPr>
      <w:ind w:left="720"/>
      <w:contextualSpacing/>
    </w:pPr>
  </w:style>
  <w:style w:type="character" w:styleId="Hyperlink">
    <w:name w:val="Hyperlink"/>
    <w:basedOn w:val="DefaultParagraphFont"/>
    <w:uiPriority w:val="99"/>
    <w:unhideWhenUsed/>
    <w:rsid w:val="009B4DF7"/>
    <w:rPr>
      <w:color w:val="0563C1" w:themeColor="hyperlink"/>
      <w:u w:val="single"/>
    </w:rPr>
  </w:style>
  <w:style w:type="paragraph" w:styleId="FootnoteText">
    <w:name w:val="footnote text"/>
    <w:basedOn w:val="Normal"/>
    <w:link w:val="FootnoteTextChar"/>
    <w:unhideWhenUsed/>
    <w:rsid w:val="009B4DF7"/>
    <w:pPr>
      <w:spacing w:after="0" w:line="240" w:lineRule="auto"/>
    </w:pPr>
    <w:rPr>
      <w:sz w:val="20"/>
      <w:szCs w:val="20"/>
    </w:rPr>
  </w:style>
  <w:style w:type="character" w:customStyle="1" w:styleId="FootnoteTextChar">
    <w:name w:val="Footnote Text Char"/>
    <w:basedOn w:val="DefaultParagraphFont"/>
    <w:link w:val="FootnoteText"/>
    <w:rsid w:val="009B4DF7"/>
    <w:rPr>
      <w:sz w:val="20"/>
      <w:szCs w:val="20"/>
      <w:lang w:val="en-US"/>
    </w:rPr>
  </w:style>
  <w:style w:type="character" w:styleId="FootnoteReference">
    <w:name w:val="footnote reference"/>
    <w:basedOn w:val="DefaultParagraphFont"/>
    <w:uiPriority w:val="99"/>
    <w:unhideWhenUsed/>
    <w:rsid w:val="009B4DF7"/>
    <w:rPr>
      <w:vertAlign w:val="superscript"/>
    </w:rPr>
  </w:style>
  <w:style w:type="character" w:customStyle="1" w:styleId="ListParagraphChar">
    <w:name w:val="List Paragraph Char"/>
    <w:aliases w:val="Table text Char"/>
    <w:basedOn w:val="DefaultParagraphFont"/>
    <w:link w:val="ListParagraph"/>
    <w:uiPriority w:val="34"/>
    <w:locked/>
    <w:rsid w:val="009B4DF7"/>
    <w:rPr>
      <w:lang w:val="en-US"/>
    </w:rPr>
  </w:style>
  <w:style w:type="paragraph" w:styleId="Header">
    <w:name w:val="header"/>
    <w:basedOn w:val="Normal"/>
    <w:link w:val="HeaderChar"/>
    <w:uiPriority w:val="99"/>
    <w:unhideWhenUsed/>
    <w:rsid w:val="00F777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7705"/>
    <w:rPr>
      <w:lang w:val="en-US"/>
    </w:rPr>
  </w:style>
  <w:style w:type="paragraph" w:styleId="Footer">
    <w:name w:val="footer"/>
    <w:basedOn w:val="Normal"/>
    <w:link w:val="FooterChar"/>
    <w:uiPriority w:val="99"/>
    <w:unhideWhenUsed/>
    <w:rsid w:val="00F777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7705"/>
    <w:rPr>
      <w:lang w:val="en-US"/>
    </w:rPr>
  </w:style>
  <w:style w:type="character" w:styleId="CommentReference">
    <w:name w:val="annotation reference"/>
    <w:basedOn w:val="DefaultParagraphFont"/>
    <w:uiPriority w:val="99"/>
    <w:unhideWhenUsed/>
    <w:rsid w:val="00E45210"/>
    <w:rPr>
      <w:sz w:val="16"/>
      <w:szCs w:val="16"/>
    </w:rPr>
  </w:style>
  <w:style w:type="paragraph" w:styleId="CommentText">
    <w:name w:val="annotation text"/>
    <w:basedOn w:val="Normal"/>
    <w:link w:val="CommentTextChar"/>
    <w:uiPriority w:val="99"/>
    <w:unhideWhenUsed/>
    <w:rsid w:val="00E45210"/>
    <w:pPr>
      <w:spacing w:line="240" w:lineRule="auto"/>
    </w:pPr>
    <w:rPr>
      <w:sz w:val="20"/>
      <w:szCs w:val="20"/>
    </w:rPr>
  </w:style>
  <w:style w:type="character" w:customStyle="1" w:styleId="CommentTextChar">
    <w:name w:val="Comment Text Char"/>
    <w:basedOn w:val="DefaultParagraphFont"/>
    <w:link w:val="CommentText"/>
    <w:uiPriority w:val="99"/>
    <w:rsid w:val="00E45210"/>
    <w:rPr>
      <w:sz w:val="20"/>
      <w:szCs w:val="20"/>
      <w:lang w:val="en-US"/>
    </w:rPr>
  </w:style>
  <w:style w:type="paragraph" w:styleId="CommentSubject">
    <w:name w:val="annotation subject"/>
    <w:basedOn w:val="CommentText"/>
    <w:next w:val="CommentText"/>
    <w:link w:val="CommentSubjectChar"/>
    <w:uiPriority w:val="99"/>
    <w:semiHidden/>
    <w:unhideWhenUsed/>
    <w:rsid w:val="00E45210"/>
    <w:rPr>
      <w:b/>
      <w:bCs/>
    </w:rPr>
  </w:style>
  <w:style w:type="character" w:customStyle="1" w:styleId="CommentSubjectChar">
    <w:name w:val="Comment Subject Char"/>
    <w:basedOn w:val="CommentTextChar"/>
    <w:link w:val="CommentSubject"/>
    <w:uiPriority w:val="99"/>
    <w:semiHidden/>
    <w:rsid w:val="00E45210"/>
    <w:rPr>
      <w:b/>
      <w:bCs/>
      <w:sz w:val="20"/>
      <w:szCs w:val="20"/>
      <w:lang w:val="en-US"/>
    </w:rPr>
  </w:style>
  <w:style w:type="paragraph" w:styleId="BalloonText">
    <w:name w:val="Balloon Text"/>
    <w:basedOn w:val="Normal"/>
    <w:link w:val="BalloonTextChar"/>
    <w:uiPriority w:val="99"/>
    <w:semiHidden/>
    <w:unhideWhenUsed/>
    <w:rsid w:val="009050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50E9"/>
    <w:rPr>
      <w:rFonts w:ascii="Segoe UI" w:hAnsi="Segoe UI" w:cs="Segoe UI"/>
      <w:sz w:val="18"/>
      <w:szCs w:val="18"/>
      <w:lang w:val="en-US"/>
    </w:rPr>
  </w:style>
  <w:style w:type="character" w:customStyle="1" w:styleId="Heading7Char">
    <w:name w:val="Heading 7 Char"/>
    <w:basedOn w:val="DefaultParagraphFont"/>
    <w:link w:val="Heading7"/>
    <w:uiPriority w:val="9"/>
    <w:rsid w:val="00905919"/>
    <w:rPr>
      <w:rFonts w:ascii="Arial" w:hAnsi="Arial"/>
      <w:spacing w:val="-4"/>
      <w:sz w:val="18"/>
      <w:szCs w:val="18"/>
      <w:u w:val="single"/>
      <w:lang w:val="en-GB"/>
    </w:rPr>
  </w:style>
  <w:style w:type="paragraph" w:styleId="NoSpacing">
    <w:name w:val="No Spacing"/>
    <w:uiPriority w:val="1"/>
    <w:qFormat/>
    <w:rsid w:val="00905919"/>
    <w:pPr>
      <w:spacing w:after="0" w:line="240" w:lineRule="auto"/>
      <w:jc w:val="both"/>
    </w:pPr>
    <w:rPr>
      <w:rFonts w:ascii="Arial" w:hAnsi="Arial"/>
      <w:spacing w:val="-4"/>
      <w:sz w:val="18"/>
      <w:szCs w:val="18"/>
    </w:rPr>
  </w:style>
  <w:style w:type="table" w:customStyle="1" w:styleId="SamplePHCTable">
    <w:name w:val="Sample PHC Table"/>
    <w:basedOn w:val="TableGrid"/>
    <w:uiPriority w:val="99"/>
    <w:rsid w:val="00905919"/>
    <w:pPr>
      <w:jc w:val="center"/>
    </w:pPr>
    <w:rPr>
      <w:rFonts w:ascii="Arial" w:hAnsi="Arial"/>
      <w:sz w:val="16"/>
      <w:szCs w:val="18"/>
      <w:lang w:eastAsia="en-ZA"/>
    </w:rPr>
    <w:tblPr/>
    <w:tcPr>
      <w:shd w:val="clear" w:color="auto" w:fill="auto"/>
    </w:tcPr>
    <w:tblStylePr w:type="firstRow">
      <w:pPr>
        <w:wordWrap/>
        <w:spacing w:beforeLines="0" w:before="0" w:beforeAutospacing="0" w:afterLines="0" w:after="0" w:afterAutospacing="0"/>
        <w:jc w:val="left"/>
      </w:pPr>
      <w:rPr>
        <w:rFonts w:ascii="Arial" w:hAnsi="Arial"/>
        <w:b/>
        <w:sz w:val="16"/>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D9D9D9" w:themeFill="background1" w:themeFillShade="D9"/>
        <w:vAlign w:val="center"/>
      </w:tcPr>
    </w:tblStylePr>
    <w:tblStylePr w:type="lastRow">
      <w:pPr>
        <w:wordWrap/>
        <w:jc w:val="left"/>
      </w:pPr>
      <w:rPr>
        <w:rFonts w:ascii="Arial" w:hAnsi="Arial"/>
        <w:b w:val="0"/>
        <w:sz w:val="12"/>
      </w:rPr>
      <w:tblPr/>
      <w:tcPr>
        <w:tcBorders>
          <w:top w:val="nil"/>
          <w:left w:val="nil"/>
          <w:bottom w:val="nil"/>
          <w:right w:val="nil"/>
          <w:insideH w:val="nil"/>
          <w:insideV w:val="nil"/>
          <w:tl2br w:val="nil"/>
          <w:tr2bl w:val="nil"/>
        </w:tcBorders>
        <w:shd w:val="clear" w:color="auto" w:fill="auto"/>
      </w:tcPr>
    </w:tblStylePr>
  </w:style>
  <w:style w:type="paragraph" w:styleId="EndnoteText">
    <w:name w:val="endnote text"/>
    <w:basedOn w:val="Normal"/>
    <w:link w:val="EndnoteTextChar"/>
    <w:uiPriority w:val="10"/>
    <w:rsid w:val="00905919"/>
    <w:pPr>
      <w:spacing w:before="60" w:after="60" w:line="240" w:lineRule="auto"/>
    </w:pPr>
    <w:rPr>
      <w:rFonts w:ascii="Arial" w:hAnsi="Arial"/>
      <w:spacing w:val="-4"/>
      <w:sz w:val="12"/>
      <w:szCs w:val="18"/>
      <w:lang w:val="en-GB"/>
    </w:rPr>
  </w:style>
  <w:style w:type="character" w:customStyle="1" w:styleId="EndnoteTextChar">
    <w:name w:val="Endnote Text Char"/>
    <w:basedOn w:val="DefaultParagraphFont"/>
    <w:link w:val="EndnoteText"/>
    <w:uiPriority w:val="10"/>
    <w:rsid w:val="00905919"/>
    <w:rPr>
      <w:rFonts w:ascii="Arial" w:hAnsi="Arial"/>
      <w:spacing w:val="-4"/>
      <w:sz w:val="12"/>
      <w:szCs w:val="18"/>
      <w:lang w:val="en-GB"/>
    </w:rPr>
  </w:style>
  <w:style w:type="character" w:styleId="EndnoteReference">
    <w:name w:val="endnote reference"/>
    <w:basedOn w:val="DefaultParagraphFont"/>
    <w:uiPriority w:val="10"/>
    <w:rsid w:val="00905919"/>
    <w:rPr>
      <w:sz w:val="12"/>
      <w:szCs w:val="12"/>
      <w:vertAlign w:val="superscript"/>
    </w:rPr>
  </w:style>
  <w:style w:type="paragraph" w:customStyle="1" w:styleId="LoEText">
    <w:name w:val="LoE Text"/>
    <w:basedOn w:val="ListParagraph"/>
    <w:uiPriority w:val="3"/>
    <w:qFormat/>
    <w:rsid w:val="00905919"/>
    <w:pPr>
      <w:framePr w:hSpace="284" w:wrap="around" w:vAnchor="text" w:hAnchor="margin" w:xAlign="right" w:y="1"/>
      <w:spacing w:after="0" w:line="240" w:lineRule="auto"/>
      <w:ind w:left="0"/>
      <w:contextualSpacing w:val="0"/>
      <w:suppressOverlap/>
      <w:jc w:val="right"/>
    </w:pPr>
    <w:rPr>
      <w:rFonts w:ascii="Arial" w:hAnsi="Arial"/>
      <w:i/>
      <w:spacing w:val="-4"/>
      <w:sz w:val="16"/>
      <w:szCs w:val="16"/>
      <w:lang w:val="en-ZA"/>
    </w:rPr>
  </w:style>
  <w:style w:type="character" w:customStyle="1" w:styleId="EndnoteReference8">
    <w:name w:val="Endnote Reference 8"/>
    <w:basedOn w:val="DefaultParagraphFont"/>
    <w:uiPriority w:val="10"/>
    <w:rsid w:val="00905919"/>
    <w:rPr>
      <w:sz w:val="16"/>
      <w:vertAlign w:val="superscript"/>
    </w:rPr>
  </w:style>
  <w:style w:type="table" w:styleId="TableGrid">
    <w:name w:val="Table Grid"/>
    <w:basedOn w:val="TableNormal"/>
    <w:uiPriority w:val="59"/>
    <w:rsid w:val="00905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001FD8"/>
    <w:rPr>
      <w:rFonts w:asciiTheme="majorHAnsi" w:eastAsiaTheme="majorEastAsia" w:hAnsiTheme="majorHAnsi" w:cstheme="majorBidi"/>
      <w:color w:val="1F4D78" w:themeColor="accent1" w:themeShade="7F"/>
      <w:sz w:val="24"/>
      <w:szCs w:val="24"/>
      <w:lang w:val="en-US"/>
    </w:rPr>
  </w:style>
  <w:style w:type="character" w:customStyle="1" w:styleId="Heading5Char">
    <w:name w:val="Heading 5 Char"/>
    <w:basedOn w:val="DefaultParagraphFont"/>
    <w:link w:val="Heading5"/>
    <w:uiPriority w:val="9"/>
    <w:semiHidden/>
    <w:rsid w:val="008A6F6A"/>
    <w:rPr>
      <w:rFonts w:asciiTheme="majorHAnsi" w:eastAsiaTheme="majorEastAsia" w:hAnsiTheme="majorHAnsi" w:cstheme="majorBidi"/>
      <w:color w:val="2E74B5" w:themeColor="accent1" w:themeShade="BF"/>
      <w:lang w:val="en-US"/>
    </w:rPr>
  </w:style>
  <w:style w:type="paragraph" w:styleId="Revision">
    <w:name w:val="Revision"/>
    <w:hidden/>
    <w:uiPriority w:val="99"/>
    <w:semiHidden/>
    <w:rsid w:val="00F73F12"/>
    <w:pPr>
      <w:spacing w:after="0" w:line="240" w:lineRule="auto"/>
    </w:pPr>
    <w:rPr>
      <w:lang w:val="en-US"/>
    </w:rPr>
  </w:style>
  <w:style w:type="table" w:customStyle="1" w:styleId="GridTable1Light1">
    <w:name w:val="Grid Table 1 Light1"/>
    <w:basedOn w:val="TableNormal"/>
    <w:uiPriority w:val="46"/>
    <w:rsid w:val="00A32420"/>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2313C8"/>
    <w:rPr>
      <w:rFonts w:asciiTheme="majorHAnsi" w:eastAsiaTheme="majorEastAsia" w:hAnsiTheme="majorHAnsi" w:cstheme="majorBidi"/>
      <w:color w:val="2E74B5" w:themeColor="accent1" w:themeShade="BF"/>
      <w:sz w:val="32"/>
      <w:szCs w:val="32"/>
      <w:lang w:val="en-US"/>
    </w:rPr>
  </w:style>
  <w:style w:type="character" w:styleId="Strong">
    <w:name w:val="Strong"/>
    <w:basedOn w:val="DefaultParagraphFont"/>
    <w:uiPriority w:val="22"/>
    <w:qFormat/>
    <w:rsid w:val="002313C8"/>
    <w:rPr>
      <w:b/>
      <w:bCs/>
    </w:rPr>
  </w:style>
  <w:style w:type="table" w:customStyle="1" w:styleId="TableGrid41">
    <w:name w:val="Table Grid41"/>
    <w:basedOn w:val="TableNormal"/>
    <w:next w:val="TableGrid"/>
    <w:uiPriority w:val="59"/>
    <w:rsid w:val="00C72668"/>
    <w:pPr>
      <w:spacing w:after="0" w:line="240" w:lineRule="auto"/>
    </w:pPr>
    <w:rPr>
      <w:rFonts w:ascii="Calibri" w:eastAsia="Calibri" w:hAnsi="Calibri" w:cs="Times New Roman"/>
      <w:sz w:val="20"/>
      <w:szCs w:val="20"/>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5C63B2"/>
    <w:pPr>
      <w:autoSpaceDE w:val="0"/>
      <w:autoSpaceDN w:val="0"/>
      <w:adjustRightInd w:val="0"/>
      <w:spacing w:after="0" w:line="240" w:lineRule="auto"/>
    </w:pPr>
    <w:rPr>
      <w:rFonts w:ascii="Arial" w:hAnsi="Arial" w:cs="Arial"/>
      <w:color w:val="000000"/>
      <w:sz w:val="24"/>
      <w:szCs w:val="24"/>
    </w:rPr>
  </w:style>
  <w:style w:type="paragraph" w:customStyle="1" w:styleId="TableText">
    <w:name w:val="Table Text"/>
    <w:basedOn w:val="NoSpacing"/>
    <w:uiPriority w:val="3"/>
    <w:qFormat/>
    <w:rsid w:val="00D205D5"/>
    <w:rPr>
      <w:sz w:val="16"/>
      <w:szCs w:val="16"/>
    </w:rPr>
  </w:style>
  <w:style w:type="table" w:customStyle="1" w:styleId="TableGrid4">
    <w:name w:val="Table Grid4"/>
    <w:basedOn w:val="TableNormal"/>
    <w:next w:val="TableGrid"/>
    <w:uiPriority w:val="59"/>
    <w:rsid w:val="00C3215A"/>
    <w:pPr>
      <w:spacing w:after="0" w:line="240" w:lineRule="auto"/>
    </w:pPr>
    <w:rPr>
      <w:rFonts w:ascii="Calibri" w:eastAsia="Calibri" w:hAnsi="Calibri" w:cs="Times New Roman"/>
      <w:sz w:val="20"/>
      <w:szCs w:val="20"/>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basedOn w:val="DefaultParagraphFont"/>
    <w:link w:val="Heading6"/>
    <w:uiPriority w:val="9"/>
    <w:semiHidden/>
    <w:rsid w:val="00773A8A"/>
    <w:rPr>
      <w:rFonts w:asciiTheme="majorHAnsi" w:eastAsiaTheme="majorEastAsia" w:hAnsiTheme="majorHAnsi" w:cstheme="majorBidi"/>
      <w:color w:val="1F4D78" w:themeColor="accent1" w:themeShade="7F"/>
      <w:lang w:val="en-US"/>
    </w:rPr>
  </w:style>
  <w:style w:type="character" w:customStyle="1" w:styleId="StyleText1">
    <w:name w:val="Style Text 1"/>
    <w:rsid w:val="00773A8A"/>
    <w:rPr>
      <w:color w:val="000000"/>
    </w:rPr>
  </w:style>
  <w:style w:type="paragraph" w:customStyle="1" w:styleId="BulletMedicine">
    <w:name w:val="Bullet Medicine"/>
    <w:basedOn w:val="Normal"/>
    <w:next w:val="Normal"/>
    <w:uiPriority w:val="5"/>
    <w:qFormat/>
    <w:rsid w:val="00391BC8"/>
    <w:pPr>
      <w:numPr>
        <w:numId w:val="3"/>
      </w:numPr>
      <w:spacing w:after="0" w:line="240" w:lineRule="auto"/>
      <w:jc w:val="both"/>
    </w:pPr>
    <w:rPr>
      <w:rFonts w:ascii="Arial" w:hAnsi="Arial"/>
      <w:spacing w:val="-4"/>
      <w:sz w:val="18"/>
      <w:szCs w:val="18"/>
      <w:lang w:val="en-ZA"/>
    </w:rPr>
  </w:style>
  <w:style w:type="paragraph" w:customStyle="1" w:styleId="BulletDirectionsInstructions">
    <w:name w:val="Bullet Directions/Instructions"/>
    <w:basedOn w:val="Normal"/>
    <w:next w:val="Normal"/>
    <w:uiPriority w:val="6"/>
    <w:qFormat/>
    <w:rsid w:val="00391BC8"/>
    <w:pPr>
      <w:numPr>
        <w:numId w:val="2"/>
      </w:numPr>
      <w:spacing w:after="0" w:line="240" w:lineRule="auto"/>
      <w:jc w:val="both"/>
    </w:pPr>
    <w:rPr>
      <w:rFonts w:ascii="Arial" w:hAnsi="Arial"/>
      <w:spacing w:val="-4"/>
      <w:sz w:val="18"/>
      <w:szCs w:val="18"/>
      <w:lang w:val="en-ZA"/>
    </w:rPr>
  </w:style>
  <w:style w:type="paragraph" w:customStyle="1" w:styleId="ep4">
    <w:name w:val="ep4"/>
    <w:basedOn w:val="Normal"/>
    <w:rsid w:val="00391BC8"/>
    <w:pPr>
      <w:numPr>
        <w:numId w:val="4"/>
      </w:numPr>
      <w:spacing w:after="0" w:line="180" w:lineRule="exact"/>
      <w:jc w:val="both"/>
    </w:pPr>
    <w:rPr>
      <w:rFonts w:ascii="Arial" w:eastAsia="Times New Roman" w:hAnsi="Arial" w:cs="Times New Roman"/>
      <w:bCs/>
      <w:sz w:val="16"/>
      <w:szCs w:val="20"/>
      <w:lang w:val="en-ZA"/>
    </w:rPr>
  </w:style>
  <w:style w:type="paragraph" w:customStyle="1" w:styleId="Styleepb9ptNotBoldText1Linespacingsingle">
    <w:name w:val="Style epb + 9 pt Not Bold Text 1 Line spacing:  single"/>
    <w:basedOn w:val="Normal"/>
    <w:rsid w:val="00391BC8"/>
    <w:pPr>
      <w:spacing w:after="0" w:line="240" w:lineRule="auto"/>
      <w:jc w:val="both"/>
    </w:pPr>
    <w:rPr>
      <w:rFonts w:ascii="Arial" w:eastAsia="Times New Roman" w:hAnsi="Arial" w:cs="Times New Roman"/>
      <w:color w:val="000000"/>
      <w:sz w:val="18"/>
      <w:szCs w:val="20"/>
      <w:lang w:val="en-ZA"/>
    </w:rPr>
  </w:style>
  <w:style w:type="table" w:customStyle="1" w:styleId="TableGrid1">
    <w:name w:val="Table Grid1"/>
    <w:basedOn w:val="TableNormal"/>
    <w:uiPriority w:val="59"/>
    <w:rsid w:val="00371DCF"/>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dl2ndle01">
    <w:name w:val="edl 2nd le01"/>
    <w:basedOn w:val="Normal"/>
    <w:rsid w:val="00E93624"/>
    <w:pPr>
      <w:widowControl w:val="0"/>
      <w:shd w:val="pct20" w:color="000000" w:fill="FFFFFF"/>
      <w:autoSpaceDE w:val="0"/>
      <w:autoSpaceDN w:val="0"/>
      <w:adjustRightInd w:val="0"/>
      <w:spacing w:after="0" w:line="240" w:lineRule="auto"/>
    </w:pPr>
    <w:rPr>
      <w:rFonts w:ascii="Times New Roman" w:eastAsia="Times New Roman" w:hAnsi="Times New Roman" w:cs="Times New Roman"/>
      <w:b/>
      <w:bCs/>
    </w:rPr>
  </w:style>
  <w:style w:type="character" w:customStyle="1" w:styleId="Heading4Char">
    <w:name w:val="Heading 4 Char"/>
    <w:basedOn w:val="DefaultParagraphFont"/>
    <w:link w:val="Heading4"/>
    <w:uiPriority w:val="9"/>
    <w:semiHidden/>
    <w:rsid w:val="00B35379"/>
    <w:rPr>
      <w:rFonts w:asciiTheme="majorHAnsi" w:eastAsiaTheme="majorEastAsia" w:hAnsiTheme="majorHAnsi" w:cstheme="majorBidi"/>
      <w:i/>
      <w:iCs/>
      <w:color w:val="2E74B5" w:themeColor="accent1" w:themeShade="BF"/>
      <w:lang w:val="en-US"/>
    </w:rPr>
  </w:style>
  <w:style w:type="character" w:styleId="Emphasis">
    <w:name w:val="Emphasis"/>
    <w:basedOn w:val="DefaultParagraphFont"/>
    <w:uiPriority w:val="20"/>
    <w:qFormat/>
    <w:rsid w:val="00DB6698"/>
    <w:rPr>
      <w:i/>
      <w:iCs/>
    </w:rPr>
  </w:style>
  <w:style w:type="paragraph" w:styleId="TOC2">
    <w:name w:val="toc 2"/>
    <w:basedOn w:val="Normal"/>
    <w:next w:val="Normal"/>
    <w:autoRedefine/>
    <w:uiPriority w:val="39"/>
    <w:unhideWhenUsed/>
    <w:rsid w:val="00AE0A49"/>
    <w:pPr>
      <w:tabs>
        <w:tab w:val="left" w:pos="709"/>
        <w:tab w:val="right" w:pos="6113"/>
      </w:tabs>
      <w:spacing w:before="60" w:after="100" w:line="240" w:lineRule="auto"/>
    </w:pPr>
    <w:rPr>
      <w:rFonts w:ascii="Arial" w:hAnsi="Arial"/>
      <w:noProof/>
      <w:spacing w:val="-4"/>
      <w:sz w:val="16"/>
      <w:szCs w:val="18"/>
      <w:lang w:val="en-GB"/>
    </w:rPr>
  </w:style>
  <w:style w:type="paragraph" w:customStyle="1" w:styleId="Style9ptNotBoldBottomNoborder">
    <w:name w:val="Style 9 pt Not Bold Bottom: (No border)"/>
    <w:basedOn w:val="Normal"/>
    <w:rsid w:val="00693C4F"/>
    <w:pPr>
      <w:tabs>
        <w:tab w:val="left" w:pos="3119"/>
      </w:tabs>
      <w:spacing w:after="0" w:line="240" w:lineRule="auto"/>
      <w:jc w:val="both"/>
    </w:pPr>
    <w:rPr>
      <w:rFonts w:ascii="Arial" w:eastAsia="Times New Roman" w:hAnsi="Arial" w:cs="Times New Roman"/>
      <w:noProof/>
      <w:color w:val="000000"/>
      <w:sz w:val="18"/>
      <w:szCs w:val="20"/>
      <w:lang w:val="en-ZA"/>
    </w:rPr>
  </w:style>
  <w:style w:type="paragraph" w:customStyle="1" w:styleId="Level1">
    <w:name w:val="Level 1"/>
    <w:basedOn w:val="Normal"/>
    <w:uiPriority w:val="99"/>
    <w:rsid w:val="00F36A37"/>
    <w:pPr>
      <w:widowControl w:val="0"/>
      <w:autoSpaceDE w:val="0"/>
      <w:autoSpaceDN w:val="0"/>
      <w:adjustRightInd w:val="0"/>
      <w:spacing w:after="0" w:line="240" w:lineRule="auto"/>
      <w:ind w:left="163" w:hanging="163"/>
    </w:pPr>
    <w:rPr>
      <w:rFonts w:ascii="Arial" w:eastAsia="Times New Roman" w:hAnsi="Arial" w:cs="Arial"/>
      <w:sz w:val="20"/>
      <w:szCs w:val="20"/>
      <w:lang w:eastAsia="en-ZA"/>
    </w:rPr>
  </w:style>
  <w:style w:type="paragraph" w:customStyle="1" w:styleId="Centeredbox">
    <w:name w:val="Centered box"/>
    <w:basedOn w:val="Normal"/>
    <w:uiPriority w:val="7"/>
    <w:qFormat/>
    <w:rsid w:val="0067023D"/>
    <w:pPr>
      <w:pBdr>
        <w:top w:val="double" w:sz="4" w:space="1" w:color="auto"/>
        <w:left w:val="double" w:sz="4" w:space="4" w:color="auto"/>
        <w:bottom w:val="double" w:sz="4" w:space="1" w:color="auto"/>
        <w:right w:val="double" w:sz="4" w:space="4" w:color="auto"/>
      </w:pBdr>
      <w:spacing w:before="120" w:after="120" w:line="240" w:lineRule="auto"/>
      <w:ind w:left="113" w:right="113"/>
      <w:jc w:val="center"/>
    </w:pPr>
    <w:rPr>
      <w:rFonts w:ascii="Arial" w:hAnsi="Arial"/>
      <w:spacing w:val="-4"/>
      <w:sz w:val="18"/>
      <w:szCs w:val="18"/>
      <w:lang w:val="en-GB"/>
    </w:rPr>
  </w:style>
  <w:style w:type="paragraph" w:customStyle="1" w:styleId="Style3">
    <w:name w:val="Style3"/>
    <w:basedOn w:val="Normal"/>
    <w:link w:val="Style3Char"/>
    <w:qFormat/>
    <w:rsid w:val="00227C1A"/>
    <w:pPr>
      <w:numPr>
        <w:numId w:val="33"/>
      </w:numPr>
      <w:spacing w:after="0" w:line="240" w:lineRule="auto"/>
      <w:jc w:val="both"/>
    </w:pPr>
    <w:rPr>
      <w:rFonts w:ascii="Arial" w:eastAsia="Times New Roman" w:hAnsi="Arial" w:cs="Times New Roman"/>
      <w:sz w:val="18"/>
      <w:szCs w:val="24"/>
    </w:rPr>
  </w:style>
  <w:style w:type="character" w:customStyle="1" w:styleId="Style3Char">
    <w:name w:val="Style3 Char"/>
    <w:basedOn w:val="DefaultParagraphFont"/>
    <w:link w:val="Style3"/>
    <w:rsid w:val="00227C1A"/>
    <w:rPr>
      <w:rFonts w:ascii="Arial" w:eastAsia="Times New Roman" w:hAnsi="Arial" w:cs="Times New Roman"/>
      <w:sz w:val="18"/>
      <w:szCs w:val="24"/>
      <w:lang w:val="en-US"/>
    </w:rPr>
  </w:style>
  <w:style w:type="character" w:customStyle="1" w:styleId="cf01">
    <w:name w:val="cf01"/>
    <w:basedOn w:val="DefaultParagraphFont"/>
    <w:rsid w:val="00426F51"/>
    <w:rPr>
      <w:rFonts w:ascii="Segoe UI" w:hAnsi="Segoe UI" w:cs="Segoe UI" w:hint="default"/>
      <w:b/>
      <w:bCs/>
      <w:sz w:val="18"/>
      <w:szCs w:val="18"/>
    </w:rPr>
  </w:style>
  <w:style w:type="paragraph" w:customStyle="1" w:styleId="ChapterHeader">
    <w:name w:val="Chapter Header"/>
    <w:qFormat/>
    <w:rsid w:val="00797E3B"/>
    <w:pPr>
      <w:spacing w:after="0" w:line="360" w:lineRule="auto"/>
      <w:jc w:val="center"/>
    </w:pPr>
    <w:rPr>
      <w:rFonts w:ascii="Arial" w:eastAsia="Times New Roman" w:hAnsi="Arial" w:cs="Arial"/>
      <w:b/>
      <w:noProof/>
      <w:color w:val="000000"/>
      <w:sz w:val="28"/>
      <w:szCs w:val="18"/>
    </w:rPr>
  </w:style>
  <w:style w:type="paragraph" w:customStyle="1" w:styleId="ep0">
    <w:name w:val="ep0"/>
    <w:rsid w:val="006D466E"/>
    <w:pPr>
      <w:spacing w:after="0" w:line="180" w:lineRule="exact"/>
      <w:jc w:val="both"/>
    </w:pPr>
    <w:rPr>
      <w:rFonts w:ascii="Arial" w:eastAsia="Times New Roman" w:hAnsi="Arial" w:cs="Times New Roman"/>
      <w:sz w:val="16"/>
      <w:szCs w:val="24"/>
    </w:rPr>
  </w:style>
  <w:style w:type="paragraph" w:styleId="BodyText3">
    <w:name w:val="Body Text 3"/>
    <w:basedOn w:val="Normal"/>
    <w:link w:val="BodyText3Char"/>
    <w:uiPriority w:val="99"/>
    <w:unhideWhenUsed/>
    <w:rsid w:val="00DF0D09"/>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DF0D09"/>
    <w:rPr>
      <w:rFonts w:ascii="Times New Roman" w:eastAsia="Times New Roman" w:hAnsi="Times New Roman" w:cs="Times New Roman"/>
      <w:sz w:val="16"/>
      <w:szCs w:val="16"/>
      <w:lang w:val="en-US"/>
    </w:rPr>
  </w:style>
  <w:style w:type="character" w:styleId="UnresolvedMention">
    <w:name w:val="Unresolved Mention"/>
    <w:basedOn w:val="DefaultParagraphFont"/>
    <w:uiPriority w:val="99"/>
    <w:semiHidden/>
    <w:unhideWhenUsed/>
    <w:rsid w:val="00987E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761186">
      <w:bodyDiv w:val="1"/>
      <w:marLeft w:val="0"/>
      <w:marRight w:val="0"/>
      <w:marTop w:val="0"/>
      <w:marBottom w:val="0"/>
      <w:divBdr>
        <w:top w:val="none" w:sz="0" w:space="0" w:color="auto"/>
        <w:left w:val="none" w:sz="0" w:space="0" w:color="auto"/>
        <w:bottom w:val="none" w:sz="0" w:space="0" w:color="auto"/>
        <w:right w:val="none" w:sz="0" w:space="0" w:color="auto"/>
      </w:divBdr>
      <w:divsChild>
        <w:div w:id="1038777606">
          <w:marLeft w:val="1166"/>
          <w:marRight w:val="0"/>
          <w:marTop w:val="96"/>
          <w:marBottom w:val="0"/>
          <w:divBdr>
            <w:top w:val="none" w:sz="0" w:space="0" w:color="auto"/>
            <w:left w:val="none" w:sz="0" w:space="0" w:color="auto"/>
            <w:bottom w:val="none" w:sz="0" w:space="0" w:color="auto"/>
            <w:right w:val="none" w:sz="0" w:space="0" w:color="auto"/>
          </w:divBdr>
        </w:div>
      </w:divsChild>
    </w:div>
    <w:div w:id="576132042">
      <w:bodyDiv w:val="1"/>
      <w:marLeft w:val="0"/>
      <w:marRight w:val="0"/>
      <w:marTop w:val="0"/>
      <w:marBottom w:val="0"/>
      <w:divBdr>
        <w:top w:val="none" w:sz="0" w:space="0" w:color="auto"/>
        <w:left w:val="none" w:sz="0" w:space="0" w:color="auto"/>
        <w:bottom w:val="none" w:sz="0" w:space="0" w:color="auto"/>
        <w:right w:val="none" w:sz="0" w:space="0" w:color="auto"/>
      </w:divBdr>
    </w:div>
    <w:div w:id="1095859735">
      <w:bodyDiv w:val="1"/>
      <w:marLeft w:val="0"/>
      <w:marRight w:val="0"/>
      <w:marTop w:val="0"/>
      <w:marBottom w:val="0"/>
      <w:divBdr>
        <w:top w:val="none" w:sz="0" w:space="0" w:color="auto"/>
        <w:left w:val="none" w:sz="0" w:space="0" w:color="auto"/>
        <w:bottom w:val="none" w:sz="0" w:space="0" w:color="auto"/>
        <w:right w:val="none" w:sz="0" w:space="0" w:color="auto"/>
      </w:divBdr>
      <w:divsChild>
        <w:div w:id="1691296181">
          <w:marLeft w:val="0"/>
          <w:marRight w:val="0"/>
          <w:marTop w:val="0"/>
          <w:marBottom w:val="0"/>
          <w:divBdr>
            <w:top w:val="none" w:sz="0" w:space="0" w:color="auto"/>
            <w:left w:val="none" w:sz="0" w:space="0" w:color="auto"/>
            <w:bottom w:val="none" w:sz="0" w:space="0" w:color="auto"/>
            <w:right w:val="none" w:sz="0" w:space="0" w:color="auto"/>
          </w:divBdr>
          <w:divsChild>
            <w:div w:id="926499800">
              <w:marLeft w:val="0"/>
              <w:marRight w:val="0"/>
              <w:marTop w:val="0"/>
              <w:marBottom w:val="0"/>
              <w:divBdr>
                <w:top w:val="none" w:sz="0" w:space="0" w:color="auto"/>
                <w:left w:val="none" w:sz="0" w:space="0" w:color="auto"/>
                <w:bottom w:val="none" w:sz="0" w:space="0" w:color="auto"/>
                <w:right w:val="none" w:sz="0" w:space="0" w:color="auto"/>
              </w:divBdr>
              <w:divsChild>
                <w:div w:id="97310384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99644536">
      <w:bodyDiv w:val="1"/>
      <w:marLeft w:val="0"/>
      <w:marRight w:val="0"/>
      <w:marTop w:val="0"/>
      <w:marBottom w:val="0"/>
      <w:divBdr>
        <w:top w:val="none" w:sz="0" w:space="0" w:color="auto"/>
        <w:left w:val="none" w:sz="0" w:space="0" w:color="auto"/>
        <w:bottom w:val="none" w:sz="0" w:space="0" w:color="auto"/>
        <w:right w:val="none" w:sz="0" w:space="0" w:color="auto"/>
      </w:divBdr>
    </w:div>
    <w:div w:id="1110051433">
      <w:bodyDiv w:val="1"/>
      <w:marLeft w:val="0"/>
      <w:marRight w:val="0"/>
      <w:marTop w:val="0"/>
      <w:marBottom w:val="0"/>
      <w:divBdr>
        <w:top w:val="none" w:sz="0" w:space="0" w:color="auto"/>
        <w:left w:val="none" w:sz="0" w:space="0" w:color="auto"/>
        <w:bottom w:val="none" w:sz="0" w:space="0" w:color="auto"/>
        <w:right w:val="none" w:sz="0" w:space="0" w:color="auto"/>
      </w:divBdr>
      <w:divsChild>
        <w:div w:id="352658633">
          <w:marLeft w:val="0"/>
          <w:marRight w:val="0"/>
          <w:marTop w:val="0"/>
          <w:marBottom w:val="0"/>
          <w:divBdr>
            <w:top w:val="none" w:sz="0" w:space="0" w:color="auto"/>
            <w:left w:val="none" w:sz="0" w:space="0" w:color="auto"/>
            <w:bottom w:val="none" w:sz="0" w:space="0" w:color="auto"/>
            <w:right w:val="none" w:sz="0" w:space="0" w:color="auto"/>
          </w:divBdr>
          <w:divsChild>
            <w:div w:id="1700009963">
              <w:marLeft w:val="0"/>
              <w:marRight w:val="0"/>
              <w:marTop w:val="0"/>
              <w:marBottom w:val="0"/>
              <w:divBdr>
                <w:top w:val="none" w:sz="0" w:space="0" w:color="auto"/>
                <w:left w:val="none" w:sz="0" w:space="0" w:color="auto"/>
                <w:bottom w:val="none" w:sz="0" w:space="0" w:color="auto"/>
                <w:right w:val="none" w:sz="0" w:space="0" w:color="auto"/>
              </w:divBdr>
              <w:divsChild>
                <w:div w:id="48204641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71944224">
      <w:bodyDiv w:val="1"/>
      <w:marLeft w:val="0"/>
      <w:marRight w:val="0"/>
      <w:marTop w:val="0"/>
      <w:marBottom w:val="0"/>
      <w:divBdr>
        <w:top w:val="none" w:sz="0" w:space="0" w:color="auto"/>
        <w:left w:val="none" w:sz="0" w:space="0" w:color="auto"/>
        <w:bottom w:val="none" w:sz="0" w:space="0" w:color="auto"/>
        <w:right w:val="none" w:sz="0" w:space="0" w:color="auto"/>
      </w:divBdr>
      <w:divsChild>
        <w:div w:id="288587516">
          <w:marLeft w:val="0"/>
          <w:marRight w:val="0"/>
          <w:marTop w:val="0"/>
          <w:marBottom w:val="0"/>
          <w:divBdr>
            <w:top w:val="none" w:sz="0" w:space="0" w:color="auto"/>
            <w:left w:val="none" w:sz="0" w:space="0" w:color="auto"/>
            <w:bottom w:val="none" w:sz="0" w:space="0" w:color="auto"/>
            <w:right w:val="none" w:sz="0" w:space="0" w:color="auto"/>
          </w:divBdr>
          <w:divsChild>
            <w:div w:id="481428617">
              <w:marLeft w:val="0"/>
              <w:marRight w:val="0"/>
              <w:marTop w:val="0"/>
              <w:marBottom w:val="0"/>
              <w:divBdr>
                <w:top w:val="none" w:sz="0" w:space="0" w:color="auto"/>
                <w:left w:val="none" w:sz="0" w:space="0" w:color="auto"/>
                <w:bottom w:val="none" w:sz="0" w:space="0" w:color="auto"/>
                <w:right w:val="none" w:sz="0" w:space="0" w:color="auto"/>
              </w:divBdr>
              <w:divsChild>
                <w:div w:id="124468227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01699403">
      <w:bodyDiv w:val="1"/>
      <w:marLeft w:val="0"/>
      <w:marRight w:val="0"/>
      <w:marTop w:val="0"/>
      <w:marBottom w:val="0"/>
      <w:divBdr>
        <w:top w:val="none" w:sz="0" w:space="0" w:color="auto"/>
        <w:left w:val="none" w:sz="0" w:space="0" w:color="auto"/>
        <w:bottom w:val="none" w:sz="0" w:space="0" w:color="auto"/>
        <w:right w:val="none" w:sz="0" w:space="0" w:color="auto"/>
      </w:divBdr>
    </w:div>
    <w:div w:id="1960528980">
      <w:bodyDiv w:val="1"/>
      <w:marLeft w:val="0"/>
      <w:marRight w:val="0"/>
      <w:marTop w:val="0"/>
      <w:marBottom w:val="0"/>
      <w:divBdr>
        <w:top w:val="none" w:sz="0" w:space="0" w:color="auto"/>
        <w:left w:val="none" w:sz="0" w:space="0" w:color="auto"/>
        <w:bottom w:val="none" w:sz="0" w:space="0" w:color="auto"/>
        <w:right w:val="none" w:sz="0" w:space="0" w:color="auto"/>
      </w:divBdr>
      <w:divsChild>
        <w:div w:id="1006859774">
          <w:marLeft w:val="0"/>
          <w:marRight w:val="0"/>
          <w:marTop w:val="0"/>
          <w:marBottom w:val="0"/>
          <w:divBdr>
            <w:top w:val="none" w:sz="0" w:space="0" w:color="auto"/>
            <w:left w:val="none" w:sz="0" w:space="0" w:color="auto"/>
            <w:bottom w:val="none" w:sz="0" w:space="0" w:color="auto"/>
            <w:right w:val="none" w:sz="0" w:space="0" w:color="auto"/>
          </w:divBdr>
          <w:divsChild>
            <w:div w:id="1065302382">
              <w:marLeft w:val="0"/>
              <w:marRight w:val="0"/>
              <w:marTop w:val="0"/>
              <w:marBottom w:val="0"/>
              <w:divBdr>
                <w:top w:val="none" w:sz="0" w:space="0" w:color="auto"/>
                <w:left w:val="none" w:sz="0" w:space="0" w:color="auto"/>
                <w:bottom w:val="none" w:sz="0" w:space="0" w:color="auto"/>
                <w:right w:val="none" w:sz="0" w:space="0" w:color="auto"/>
              </w:divBdr>
            </w:div>
          </w:divsChild>
        </w:div>
        <w:div w:id="1169367201">
          <w:marLeft w:val="0"/>
          <w:marRight w:val="0"/>
          <w:marTop w:val="75"/>
          <w:marBottom w:val="0"/>
          <w:divBdr>
            <w:top w:val="none" w:sz="0" w:space="0" w:color="auto"/>
            <w:left w:val="none" w:sz="0" w:space="0" w:color="auto"/>
            <w:bottom w:val="none" w:sz="0" w:space="0" w:color="auto"/>
            <w:right w:val="none" w:sz="0" w:space="0" w:color="auto"/>
          </w:divBdr>
        </w:div>
        <w:div w:id="1157913266">
          <w:marLeft w:val="0"/>
          <w:marRight w:val="0"/>
          <w:marTop w:val="75"/>
          <w:marBottom w:val="0"/>
          <w:divBdr>
            <w:top w:val="none" w:sz="0" w:space="0" w:color="auto"/>
            <w:left w:val="none" w:sz="0" w:space="0" w:color="auto"/>
            <w:bottom w:val="none" w:sz="0" w:space="0" w:color="auto"/>
            <w:right w:val="none" w:sz="0" w:space="0" w:color="auto"/>
          </w:divBdr>
        </w:div>
      </w:divsChild>
    </w:div>
    <w:div w:id="1991247186">
      <w:bodyDiv w:val="1"/>
      <w:marLeft w:val="0"/>
      <w:marRight w:val="0"/>
      <w:marTop w:val="0"/>
      <w:marBottom w:val="0"/>
      <w:divBdr>
        <w:top w:val="none" w:sz="0" w:space="0" w:color="auto"/>
        <w:left w:val="none" w:sz="0" w:space="0" w:color="auto"/>
        <w:bottom w:val="none" w:sz="0" w:space="0" w:color="auto"/>
        <w:right w:val="none" w:sz="0" w:space="0" w:color="auto"/>
      </w:divBdr>
      <w:divsChild>
        <w:div w:id="2088305644">
          <w:marLeft w:val="0"/>
          <w:marRight w:val="0"/>
          <w:marTop w:val="0"/>
          <w:marBottom w:val="0"/>
          <w:divBdr>
            <w:top w:val="none" w:sz="0" w:space="0" w:color="auto"/>
            <w:left w:val="none" w:sz="0" w:space="0" w:color="auto"/>
            <w:bottom w:val="none" w:sz="0" w:space="0" w:color="auto"/>
            <w:right w:val="none" w:sz="0" w:space="0" w:color="auto"/>
          </w:divBdr>
          <w:divsChild>
            <w:div w:id="651447591">
              <w:marLeft w:val="0"/>
              <w:marRight w:val="0"/>
              <w:marTop w:val="0"/>
              <w:marBottom w:val="0"/>
              <w:divBdr>
                <w:top w:val="none" w:sz="0" w:space="0" w:color="auto"/>
                <w:left w:val="none" w:sz="0" w:space="0" w:color="auto"/>
                <w:bottom w:val="none" w:sz="0" w:space="0" w:color="auto"/>
                <w:right w:val="none" w:sz="0" w:space="0" w:color="auto"/>
              </w:divBdr>
              <w:divsChild>
                <w:div w:id="196241711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93287807">
      <w:bodyDiv w:val="1"/>
      <w:marLeft w:val="0"/>
      <w:marRight w:val="0"/>
      <w:marTop w:val="0"/>
      <w:marBottom w:val="0"/>
      <w:divBdr>
        <w:top w:val="none" w:sz="0" w:space="0" w:color="auto"/>
        <w:left w:val="none" w:sz="0" w:space="0" w:color="auto"/>
        <w:bottom w:val="none" w:sz="0" w:space="0" w:color="auto"/>
        <w:right w:val="none" w:sz="0" w:space="0" w:color="auto"/>
      </w:divBdr>
      <w:divsChild>
        <w:div w:id="189295653">
          <w:marLeft w:val="480"/>
          <w:marRight w:val="0"/>
          <w:marTop w:val="0"/>
          <w:marBottom w:val="0"/>
          <w:divBdr>
            <w:top w:val="none" w:sz="0" w:space="0" w:color="auto"/>
            <w:left w:val="none" w:sz="0" w:space="0" w:color="auto"/>
            <w:bottom w:val="none" w:sz="0" w:space="0" w:color="auto"/>
            <w:right w:val="none" w:sz="0" w:space="0" w:color="auto"/>
          </w:divBdr>
          <w:divsChild>
            <w:div w:id="171180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package" Target="embeddings/Microsoft_Word_Document3.docx"/><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2.docx"/><Relationship Id="rId25" Type="http://schemas.openxmlformats.org/officeDocument/2006/relationships/package" Target="embeddings/Microsoft_Word_Document5.doc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package" Target="embeddings/Microsoft_Word_Document4.docx"/><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apps.who.int/iris/handle/10665/330277" TargetMode="Externa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Word_Document6.docx"/></Relationships>
</file>

<file path=word/_rels/footnotes.xml.rels><?xml version="1.0" encoding="UTF-8" standalone="yes"?>
<Relationships xmlns="http://schemas.openxmlformats.org/package/2006/relationships"><Relationship Id="rId8" Type="http://schemas.openxmlformats.org/officeDocument/2006/relationships/hyperlink" Target="https://pubmed.ncbi.nlm.nih.gov/35346055/" TargetMode="External"/><Relationship Id="rId3" Type="http://schemas.openxmlformats.org/officeDocument/2006/relationships/hyperlink" Target="https://pubmed.ncbi.nlm.nih.gov/34197282/" TargetMode="External"/><Relationship Id="rId7" Type="http://schemas.openxmlformats.org/officeDocument/2006/relationships/hyperlink" Target="https://pubmed.ncbi.nlm.nih.gov/31142552/" TargetMode="External"/><Relationship Id="rId2" Type="http://schemas.openxmlformats.org/officeDocument/2006/relationships/hyperlink" Target="https://resus.co.za/" TargetMode="External"/><Relationship Id="rId1" Type="http://schemas.openxmlformats.org/officeDocument/2006/relationships/hyperlink" Target="http://www.ncbi.nlm.nih.gov/pubmed/20380720" TargetMode="External"/><Relationship Id="rId6" Type="http://schemas.openxmlformats.org/officeDocument/2006/relationships/hyperlink" Target="https://cpr.heart.org/en/resuscitation-science/cpr-and-ecc-guidelines" TargetMode="External"/><Relationship Id="rId11" Type="http://schemas.openxmlformats.org/officeDocument/2006/relationships/hyperlink" Target="https://pubmed.ncbi.nlm.nih.gov/11198705/" TargetMode="External"/><Relationship Id="rId5" Type="http://schemas.openxmlformats.org/officeDocument/2006/relationships/hyperlink" Target="https://pubmed.ncbi.nlm.nih.gov/34197282/" TargetMode="External"/><Relationship Id="rId10" Type="http://schemas.openxmlformats.org/officeDocument/2006/relationships/hyperlink" Target="https://pubmed.ncbi.nlm.nih.gov/23818100/" TargetMode="External"/><Relationship Id="rId4" Type="http://schemas.openxmlformats.org/officeDocument/2006/relationships/hyperlink" Target="https://pubmed.ncbi.nlm.nih.gov/35072519/" TargetMode="External"/><Relationship Id="rId9" Type="http://schemas.openxmlformats.org/officeDocument/2006/relationships/hyperlink" Target="https://apps.who.int/iris/handle/10665/3302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966C8-8EFB-4DAA-A194-D84AD0D9A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13</Pages>
  <Words>4170</Words>
  <Characters>23772</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Department of Health KZN</Company>
  <LinksUpToDate>false</LinksUpToDate>
  <CharactersWithSpaces>27887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Trudy TD. Leong</dc:creator>
  <cp:lastModifiedBy>Trudy Leong</cp:lastModifiedBy>
  <cp:revision>11</cp:revision>
  <cp:lastPrinted>2021-03-17T14:51:00Z</cp:lastPrinted>
  <dcterms:created xsi:type="dcterms:W3CDTF">2022-10-21T16:22:00Z</dcterms:created>
  <dcterms:modified xsi:type="dcterms:W3CDTF">2022-10-23T05:26:00Z</dcterms:modified>
</cp:coreProperties>
</file>